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9392DF" w14:textId="524B020F" w:rsidR="00EC1A80" w:rsidRPr="00D1142A" w:rsidRDefault="00D1142A" w:rsidP="00D1142A">
      <w:pPr>
        <w:spacing w:line="180" w:lineRule="atLeast"/>
        <w:jc w:val="center"/>
        <w:rPr>
          <w:rFonts w:ascii="Calibri" w:hAnsi="Calibri" w:cs="Calibri"/>
          <w:b/>
          <w:bCs/>
        </w:rPr>
      </w:pPr>
      <w:r w:rsidRPr="00D1142A">
        <w:rPr>
          <w:rFonts w:ascii="Calibri" w:hAnsi="Calibri" w:cs="Calibri"/>
          <w:b/>
          <w:bCs/>
        </w:rPr>
        <w:t>O B R A Z L O Ž E NJ E</w:t>
      </w:r>
    </w:p>
    <w:p w14:paraId="270D820D" w14:textId="5EFB6D73" w:rsidR="00D1142A" w:rsidRDefault="001312CD" w:rsidP="00D1142A">
      <w:pPr>
        <w:spacing w:line="180" w:lineRule="atLeast"/>
        <w:jc w:val="center"/>
        <w:rPr>
          <w:rFonts w:ascii="Calibri" w:hAnsi="Calibri" w:cs="Calibri"/>
          <w:b/>
          <w:bCs/>
        </w:rPr>
      </w:pPr>
      <w:r>
        <w:rPr>
          <w:rFonts w:ascii="Calibri" w:hAnsi="Calibri" w:cs="Calibri"/>
          <w:b/>
          <w:bCs/>
        </w:rPr>
        <w:t>cijene</w:t>
      </w:r>
      <w:r w:rsidR="009557B8">
        <w:rPr>
          <w:rFonts w:ascii="Calibri" w:hAnsi="Calibri" w:cs="Calibri"/>
          <w:b/>
          <w:bCs/>
        </w:rPr>
        <w:t xml:space="preserve"> i izmjene cijene s obrazloženjem </w:t>
      </w:r>
      <w:r w:rsidR="00D1142A" w:rsidRPr="00D1142A">
        <w:rPr>
          <w:rFonts w:ascii="Calibri" w:hAnsi="Calibri" w:cs="Calibri"/>
          <w:b/>
          <w:bCs/>
        </w:rPr>
        <w:t>načina na koji je određena cijena obvezne minimalne javne usluge</w:t>
      </w:r>
    </w:p>
    <w:p w14:paraId="2F3F24A8" w14:textId="77777777" w:rsidR="00D1142A" w:rsidRDefault="00D1142A" w:rsidP="00D1142A">
      <w:pPr>
        <w:spacing w:line="180" w:lineRule="atLeast"/>
        <w:jc w:val="center"/>
        <w:rPr>
          <w:rFonts w:ascii="Calibri" w:hAnsi="Calibri" w:cs="Calibri"/>
          <w:b/>
          <w:bCs/>
        </w:rPr>
      </w:pPr>
    </w:p>
    <w:p w14:paraId="2FCD25E4" w14:textId="77777777" w:rsidR="00D1142A" w:rsidRDefault="00D1142A" w:rsidP="00D1142A">
      <w:pPr>
        <w:spacing w:line="180" w:lineRule="atLeast"/>
        <w:rPr>
          <w:rFonts w:ascii="Calibri" w:hAnsi="Calibri" w:cs="Calibri"/>
          <w:b/>
          <w:bCs/>
        </w:rPr>
      </w:pPr>
    </w:p>
    <w:p w14:paraId="2F60D549" w14:textId="77777777" w:rsidR="004E44E1" w:rsidRPr="00BE7D58" w:rsidRDefault="004E44E1" w:rsidP="004E44E1">
      <w:pPr>
        <w:pStyle w:val="Odlomakpopisa"/>
        <w:numPr>
          <w:ilvl w:val="0"/>
          <w:numId w:val="13"/>
        </w:numPr>
        <w:spacing w:line="180" w:lineRule="atLeast"/>
        <w:jc w:val="both"/>
        <w:rPr>
          <w:rFonts w:ascii="Calibri" w:hAnsi="Calibri" w:cs="Calibri"/>
          <w:b/>
          <w:bCs/>
        </w:rPr>
      </w:pPr>
      <w:r w:rsidRPr="00BE7D58">
        <w:rPr>
          <w:rFonts w:ascii="Calibri" w:hAnsi="Calibri" w:cs="Calibri"/>
          <w:b/>
          <w:bCs/>
        </w:rPr>
        <w:t>Uvod</w:t>
      </w:r>
    </w:p>
    <w:p w14:paraId="346B1DE3" w14:textId="77777777" w:rsidR="004E44E1" w:rsidRDefault="004E44E1" w:rsidP="004E44E1">
      <w:pPr>
        <w:pStyle w:val="Odlomakpopisa"/>
        <w:spacing w:line="180" w:lineRule="atLeast"/>
        <w:ind w:left="1069"/>
        <w:jc w:val="both"/>
        <w:rPr>
          <w:rFonts w:ascii="Calibri" w:hAnsi="Calibri" w:cs="Calibri"/>
        </w:rPr>
      </w:pPr>
    </w:p>
    <w:p w14:paraId="2942E98A" w14:textId="43CBC842" w:rsidR="009C6FEF" w:rsidRPr="004E44E1" w:rsidRDefault="004E44E1" w:rsidP="004E44E1">
      <w:pPr>
        <w:spacing w:line="180" w:lineRule="atLeast"/>
        <w:jc w:val="both"/>
        <w:rPr>
          <w:rFonts w:ascii="Calibri" w:hAnsi="Calibri" w:cs="Calibri"/>
        </w:rPr>
      </w:pPr>
      <w:r w:rsidRPr="004E44E1">
        <w:rPr>
          <w:rFonts w:ascii="Calibri" w:hAnsi="Calibri" w:cs="Calibri"/>
        </w:rPr>
        <w:t>Gospodarenje otpadom Sisak d.o.o., OIB: 25388753075, Trg Josipa Mađerića 1, Sisak davatelj je javne usluge prikupljanja komunalnog otpada na području Grada Siska. Davatelj javne usluge prikupljanja komunalnog otpada svoju djelatnost, između ostalih zakonskih propisa, temeljni mora obavljati sukladno Zakonu o gospodarenju otpadom (</w:t>
      </w:r>
      <w:r w:rsidR="00EA1D90">
        <w:rPr>
          <w:rFonts w:ascii="Calibri" w:hAnsi="Calibri" w:cs="Calibri"/>
        </w:rPr>
        <w:t>„</w:t>
      </w:r>
      <w:r w:rsidRPr="004E44E1">
        <w:rPr>
          <w:rFonts w:ascii="Calibri" w:hAnsi="Calibri" w:cs="Calibri"/>
        </w:rPr>
        <w:t>N</w:t>
      </w:r>
      <w:r w:rsidR="00EA1D90">
        <w:rPr>
          <w:rFonts w:ascii="Calibri" w:hAnsi="Calibri" w:cs="Calibri"/>
        </w:rPr>
        <w:t xml:space="preserve">arodne novine“, broj </w:t>
      </w:r>
      <w:r w:rsidRPr="004E44E1">
        <w:rPr>
          <w:rFonts w:ascii="Calibri" w:hAnsi="Calibri" w:cs="Calibri"/>
        </w:rPr>
        <w:t xml:space="preserve"> 84/21, 142/23) – u daljnjem tekstu Zakon i sukladno Odluci o načinu pružanja javne usluge prikupljanja komunalnog otpada </w:t>
      </w:r>
      <w:r w:rsidRPr="0007736A">
        <w:rPr>
          <w:rFonts w:ascii="Calibri" w:hAnsi="Calibri" w:cs="Calibri"/>
        </w:rPr>
        <w:t xml:space="preserve">(Službeni glasnik Grada Sisak broj 20 od 22. studenog 2024. godine) </w:t>
      </w:r>
      <w:r w:rsidRPr="004E44E1">
        <w:rPr>
          <w:rFonts w:ascii="Calibri" w:hAnsi="Calibri" w:cs="Calibri"/>
        </w:rPr>
        <w:t>– u daljnjem tekstu Odluka</w:t>
      </w:r>
      <w:r w:rsidR="00912D27">
        <w:rPr>
          <w:rFonts w:ascii="Calibri" w:hAnsi="Calibri" w:cs="Calibri"/>
        </w:rPr>
        <w:t>.</w:t>
      </w:r>
    </w:p>
    <w:p w14:paraId="61F7835C" w14:textId="77777777" w:rsidR="004E44E1" w:rsidRDefault="004E44E1" w:rsidP="004E44E1">
      <w:pPr>
        <w:spacing w:line="180" w:lineRule="atLeast"/>
        <w:ind w:firstLine="709"/>
        <w:jc w:val="both"/>
        <w:rPr>
          <w:rFonts w:ascii="Calibri" w:hAnsi="Calibri" w:cs="Calibri"/>
        </w:rPr>
      </w:pPr>
    </w:p>
    <w:p w14:paraId="6090A882" w14:textId="77777777" w:rsidR="004E44E1" w:rsidRPr="004E44E1" w:rsidRDefault="004E44E1" w:rsidP="004E44E1">
      <w:pPr>
        <w:spacing w:line="180" w:lineRule="atLeast"/>
        <w:ind w:firstLine="709"/>
        <w:jc w:val="both"/>
        <w:rPr>
          <w:rFonts w:ascii="Calibri" w:hAnsi="Calibri" w:cs="Calibri"/>
        </w:rPr>
      </w:pPr>
      <w:r>
        <w:rPr>
          <w:rFonts w:ascii="Calibri" w:hAnsi="Calibri" w:cs="Calibri"/>
        </w:rPr>
        <w:t xml:space="preserve">Sukladno članku 64. Zakona Javna usluga sakupljanja komunalnog otpada </w:t>
      </w:r>
      <w:r w:rsidRPr="004E44E1">
        <w:rPr>
          <w:rFonts w:ascii="Calibri" w:hAnsi="Calibri" w:cs="Calibri"/>
        </w:rPr>
        <w:t>podrazumijeva prikupljanje komunalnog otpada na području pružanja javne usluge putem spremnika od pojedinog korisnika i prijevoz i predaju tog otpada ovlaštenoj osobi za obradu takvoga otpada.</w:t>
      </w:r>
    </w:p>
    <w:p w14:paraId="289D5A85" w14:textId="1BA98F88" w:rsidR="004E44E1" w:rsidRPr="004E44E1" w:rsidRDefault="004E44E1" w:rsidP="004E44E1">
      <w:pPr>
        <w:spacing w:line="180" w:lineRule="atLeast"/>
        <w:ind w:firstLine="709"/>
        <w:jc w:val="both"/>
        <w:rPr>
          <w:rFonts w:ascii="Calibri" w:hAnsi="Calibri" w:cs="Calibri"/>
        </w:rPr>
      </w:pPr>
      <w:r w:rsidRPr="004E44E1">
        <w:rPr>
          <w:rFonts w:ascii="Calibri" w:hAnsi="Calibri" w:cs="Calibri"/>
        </w:rPr>
        <w:t>Javna usluga je usluga od općeg interesa.</w:t>
      </w:r>
    </w:p>
    <w:p w14:paraId="37A66B3F" w14:textId="5BFF95D5" w:rsidR="004E44E1" w:rsidRPr="004E44E1" w:rsidRDefault="004E44E1" w:rsidP="004E44E1">
      <w:pPr>
        <w:spacing w:line="180" w:lineRule="atLeast"/>
        <w:ind w:firstLine="709"/>
        <w:jc w:val="both"/>
        <w:rPr>
          <w:rFonts w:ascii="Calibri" w:hAnsi="Calibri" w:cs="Calibri"/>
        </w:rPr>
      </w:pPr>
      <w:r w:rsidRPr="004E44E1">
        <w:rPr>
          <w:rFonts w:ascii="Calibri" w:hAnsi="Calibri" w:cs="Calibri"/>
        </w:rPr>
        <w:t>Javna usluga uključuje sljedeće usluge:</w:t>
      </w:r>
    </w:p>
    <w:p w14:paraId="066D1BF1" w14:textId="77777777" w:rsidR="004E44E1" w:rsidRPr="004E44E1" w:rsidRDefault="004E44E1" w:rsidP="004E44E1">
      <w:pPr>
        <w:spacing w:line="180" w:lineRule="atLeast"/>
        <w:ind w:firstLine="709"/>
        <w:jc w:val="both"/>
        <w:rPr>
          <w:rFonts w:ascii="Calibri" w:hAnsi="Calibri" w:cs="Calibri"/>
        </w:rPr>
      </w:pPr>
      <w:r w:rsidRPr="004E44E1">
        <w:rPr>
          <w:rFonts w:ascii="Calibri" w:hAnsi="Calibri" w:cs="Calibri"/>
        </w:rPr>
        <w:t>– uslugu prikupljanja na lokaciji obračunskog mjesta korisnika usluge:</w:t>
      </w:r>
    </w:p>
    <w:p w14:paraId="22D5AE0A" w14:textId="77777777" w:rsidR="004E44E1" w:rsidRPr="004E44E1" w:rsidRDefault="004E44E1" w:rsidP="004E44E1">
      <w:pPr>
        <w:spacing w:line="180" w:lineRule="atLeast"/>
        <w:ind w:firstLine="709"/>
        <w:jc w:val="both"/>
        <w:rPr>
          <w:rFonts w:ascii="Calibri" w:hAnsi="Calibri" w:cs="Calibri"/>
        </w:rPr>
      </w:pPr>
      <w:r w:rsidRPr="004E44E1">
        <w:rPr>
          <w:rFonts w:ascii="Calibri" w:hAnsi="Calibri" w:cs="Calibri"/>
        </w:rPr>
        <w:t>1. miješanog komunalnog otpada</w:t>
      </w:r>
    </w:p>
    <w:p w14:paraId="7A828607" w14:textId="77777777" w:rsidR="004E44E1" w:rsidRPr="004E44E1" w:rsidRDefault="004E44E1" w:rsidP="004E44E1">
      <w:pPr>
        <w:spacing w:line="180" w:lineRule="atLeast"/>
        <w:ind w:firstLine="709"/>
        <w:jc w:val="both"/>
        <w:rPr>
          <w:rFonts w:ascii="Calibri" w:hAnsi="Calibri" w:cs="Calibri"/>
        </w:rPr>
      </w:pPr>
      <w:r w:rsidRPr="004E44E1">
        <w:rPr>
          <w:rFonts w:ascii="Calibri" w:hAnsi="Calibri" w:cs="Calibri"/>
        </w:rPr>
        <w:t>2. biootpada</w:t>
      </w:r>
    </w:p>
    <w:p w14:paraId="7C5CB6EC" w14:textId="77777777" w:rsidR="004E44E1" w:rsidRPr="004E44E1" w:rsidRDefault="004E44E1" w:rsidP="004E44E1">
      <w:pPr>
        <w:spacing w:line="180" w:lineRule="atLeast"/>
        <w:ind w:firstLine="709"/>
        <w:jc w:val="both"/>
        <w:rPr>
          <w:rFonts w:ascii="Calibri" w:hAnsi="Calibri" w:cs="Calibri"/>
        </w:rPr>
      </w:pPr>
      <w:r w:rsidRPr="004E44E1">
        <w:rPr>
          <w:rFonts w:ascii="Calibri" w:hAnsi="Calibri" w:cs="Calibri"/>
        </w:rPr>
        <w:t xml:space="preserve">3. </w:t>
      </w:r>
      <w:proofErr w:type="spellStart"/>
      <w:r w:rsidRPr="004E44E1">
        <w:rPr>
          <w:rFonts w:ascii="Calibri" w:hAnsi="Calibri" w:cs="Calibri"/>
        </w:rPr>
        <w:t>reciklabilnog</w:t>
      </w:r>
      <w:proofErr w:type="spellEnd"/>
      <w:r w:rsidRPr="004E44E1">
        <w:rPr>
          <w:rFonts w:ascii="Calibri" w:hAnsi="Calibri" w:cs="Calibri"/>
        </w:rPr>
        <w:t xml:space="preserve"> komunalnog otpada i</w:t>
      </w:r>
    </w:p>
    <w:p w14:paraId="0BE269A8" w14:textId="77777777" w:rsidR="004E44E1" w:rsidRPr="004E44E1" w:rsidRDefault="004E44E1" w:rsidP="004E44E1">
      <w:pPr>
        <w:spacing w:line="180" w:lineRule="atLeast"/>
        <w:ind w:firstLine="709"/>
        <w:jc w:val="both"/>
        <w:rPr>
          <w:rFonts w:ascii="Calibri" w:hAnsi="Calibri" w:cs="Calibri"/>
        </w:rPr>
      </w:pPr>
      <w:r w:rsidRPr="004E44E1">
        <w:rPr>
          <w:rFonts w:ascii="Calibri" w:hAnsi="Calibri" w:cs="Calibri"/>
        </w:rPr>
        <w:t>4. glomaznog otpada jednom godišnje te</w:t>
      </w:r>
    </w:p>
    <w:p w14:paraId="07FC177E" w14:textId="77777777" w:rsidR="004E44E1" w:rsidRPr="004E44E1" w:rsidRDefault="004E44E1" w:rsidP="004E44E1">
      <w:pPr>
        <w:spacing w:line="180" w:lineRule="atLeast"/>
        <w:ind w:firstLine="709"/>
        <w:jc w:val="both"/>
        <w:rPr>
          <w:rFonts w:ascii="Calibri" w:hAnsi="Calibri" w:cs="Calibri"/>
        </w:rPr>
      </w:pPr>
      <w:r w:rsidRPr="004E44E1">
        <w:rPr>
          <w:rFonts w:ascii="Calibri" w:hAnsi="Calibri" w:cs="Calibri"/>
        </w:rPr>
        <w:t xml:space="preserve">– uslugu preuzimanja otpada u </w:t>
      </w:r>
      <w:proofErr w:type="spellStart"/>
      <w:r w:rsidRPr="004E44E1">
        <w:rPr>
          <w:rFonts w:ascii="Calibri" w:hAnsi="Calibri" w:cs="Calibri"/>
        </w:rPr>
        <w:t>reciklažnom</w:t>
      </w:r>
      <w:proofErr w:type="spellEnd"/>
      <w:r w:rsidRPr="004E44E1">
        <w:rPr>
          <w:rFonts w:ascii="Calibri" w:hAnsi="Calibri" w:cs="Calibri"/>
        </w:rPr>
        <w:t xml:space="preserve"> dvorištu</w:t>
      </w:r>
    </w:p>
    <w:p w14:paraId="6D1DFEDC" w14:textId="77777777" w:rsidR="004E44E1" w:rsidRDefault="004E44E1" w:rsidP="004E44E1">
      <w:pPr>
        <w:spacing w:line="180" w:lineRule="atLeast"/>
        <w:ind w:firstLine="709"/>
        <w:jc w:val="both"/>
        <w:rPr>
          <w:rFonts w:ascii="Calibri" w:hAnsi="Calibri" w:cs="Calibri"/>
        </w:rPr>
      </w:pPr>
      <w:r w:rsidRPr="004E44E1">
        <w:rPr>
          <w:rFonts w:ascii="Calibri" w:hAnsi="Calibri" w:cs="Calibri"/>
        </w:rPr>
        <w:t>– uslugu prijevoza i predaje otpada ovlaštenoj osobi.</w:t>
      </w:r>
    </w:p>
    <w:p w14:paraId="7024BB1D" w14:textId="77777777" w:rsidR="00061187" w:rsidRDefault="00061187" w:rsidP="004E44E1">
      <w:pPr>
        <w:spacing w:line="180" w:lineRule="atLeast"/>
        <w:ind w:firstLine="709"/>
        <w:jc w:val="both"/>
        <w:rPr>
          <w:rFonts w:ascii="Calibri" w:hAnsi="Calibri" w:cs="Calibri"/>
        </w:rPr>
      </w:pPr>
    </w:p>
    <w:p w14:paraId="0DF51459" w14:textId="77777777" w:rsidR="00061187" w:rsidRDefault="00061187" w:rsidP="00061187">
      <w:pPr>
        <w:pStyle w:val="Odlomakpopisa"/>
        <w:numPr>
          <w:ilvl w:val="0"/>
          <w:numId w:val="13"/>
        </w:numPr>
        <w:spacing w:line="180" w:lineRule="atLeast"/>
        <w:jc w:val="both"/>
        <w:rPr>
          <w:rFonts w:ascii="Calibri" w:hAnsi="Calibri" w:cs="Calibri"/>
          <w:b/>
          <w:bCs/>
        </w:rPr>
      </w:pPr>
      <w:bookmarkStart w:id="0" w:name="_Hlk216168667"/>
      <w:r w:rsidRPr="00E72C56">
        <w:rPr>
          <w:rFonts w:ascii="Calibri" w:hAnsi="Calibri" w:cs="Calibri"/>
          <w:b/>
          <w:bCs/>
        </w:rPr>
        <w:t>Obrazloženje</w:t>
      </w:r>
    </w:p>
    <w:p w14:paraId="0E1A4977" w14:textId="77777777" w:rsidR="00061187" w:rsidRDefault="00061187" w:rsidP="00061187">
      <w:pPr>
        <w:spacing w:line="180" w:lineRule="atLeast"/>
        <w:jc w:val="both"/>
        <w:rPr>
          <w:rFonts w:ascii="Calibri" w:hAnsi="Calibri" w:cs="Calibri"/>
          <w:b/>
          <w:bCs/>
        </w:rPr>
      </w:pPr>
    </w:p>
    <w:p w14:paraId="21811760" w14:textId="77777777" w:rsidR="00061187" w:rsidRDefault="00061187" w:rsidP="00061187">
      <w:pPr>
        <w:spacing w:line="180" w:lineRule="atLeast"/>
        <w:ind w:firstLine="709"/>
        <w:jc w:val="both"/>
        <w:rPr>
          <w:rFonts w:ascii="Calibri" w:hAnsi="Calibri" w:cs="Calibri"/>
        </w:rPr>
      </w:pPr>
      <w:r w:rsidRPr="003D425F">
        <w:rPr>
          <w:rFonts w:ascii="Calibri" w:hAnsi="Calibri" w:cs="Calibri"/>
        </w:rPr>
        <w:t xml:space="preserve">Gospodarenje otpadom Sisak d.o.o., kao davatelj javne usluge prikupljanja komunalnog otpada, primjenjuje važeći Cjenik javne usluge donesen 1. listopada 2022. godine. U </w:t>
      </w:r>
      <w:r>
        <w:rPr>
          <w:rFonts w:ascii="Calibri" w:hAnsi="Calibri" w:cs="Calibri"/>
        </w:rPr>
        <w:t>promatranom razdoblju</w:t>
      </w:r>
      <w:r w:rsidRPr="003D425F">
        <w:rPr>
          <w:rFonts w:ascii="Calibri" w:hAnsi="Calibri" w:cs="Calibri"/>
        </w:rPr>
        <w:t xml:space="preserve"> došlo je do značajnog porasta troškova poslovanja, koje Društvo mora pokrivati iz cijene javne usluge.</w:t>
      </w:r>
    </w:p>
    <w:p w14:paraId="3FCD4CE2" w14:textId="3261D05D" w:rsidR="00061187" w:rsidRDefault="00F16449" w:rsidP="00061187">
      <w:pPr>
        <w:spacing w:line="180" w:lineRule="atLeast"/>
        <w:ind w:firstLine="709"/>
        <w:jc w:val="both"/>
        <w:rPr>
          <w:rFonts w:ascii="Calibri" w:hAnsi="Calibri" w:cs="Calibri"/>
        </w:rPr>
      </w:pPr>
      <w:r w:rsidRPr="00F16449">
        <w:rPr>
          <w:rFonts w:ascii="Calibri" w:hAnsi="Calibri" w:cs="Calibri"/>
        </w:rPr>
        <w:t>Osnovni troškovi poslovanja, uključujući troškove materijala i energije, usluga, amortizacije, naknada, plaća i ostalih operativnih izdataka, u promatranom razdoblju su veći u odnosu na razdoblje donošenja važećeg Cjenika.</w:t>
      </w:r>
      <w:r w:rsidRPr="00F16449">
        <w:rPr>
          <w:rFonts w:ascii="Calibri" w:hAnsi="Calibri" w:cs="Calibri"/>
          <w:b/>
          <w:bCs/>
        </w:rPr>
        <w:t xml:space="preserve"> </w:t>
      </w:r>
      <w:r w:rsidR="00061187" w:rsidRPr="00F16449">
        <w:rPr>
          <w:rFonts w:ascii="Calibri" w:hAnsi="Calibri" w:cs="Calibri"/>
        </w:rPr>
        <w:t>Istodobno, zbog zakonski propisanih ciljeva gospodarenja otpadom, usmjerenih na poticanje kružnog gospodarstva, nužno je povećati udio odvojeno prikupljenog otpada u</w:t>
      </w:r>
      <w:r w:rsidR="00061187" w:rsidRPr="003D425F">
        <w:rPr>
          <w:rFonts w:ascii="Calibri" w:hAnsi="Calibri" w:cs="Calibri"/>
        </w:rPr>
        <w:t xml:space="preserve"> odnosu na miješani komunalni otpad. U skladu s tim zahtjevima, Društvo je od 2022. do 2025. godine povećalo količine odvojeno prikupljenog otpada za oko 25%, što je rezultiralo rastom troškova prikupljanja i značajnim povećanjem troškova zbrinjavanja</w:t>
      </w:r>
      <w:r w:rsidR="00061187">
        <w:rPr>
          <w:rFonts w:ascii="Calibri" w:hAnsi="Calibri" w:cs="Calibri"/>
        </w:rPr>
        <w:t xml:space="preserve"> prikupljenih</w:t>
      </w:r>
      <w:r w:rsidR="00061187" w:rsidRPr="003D425F">
        <w:rPr>
          <w:rFonts w:ascii="Calibri" w:hAnsi="Calibri" w:cs="Calibri"/>
        </w:rPr>
        <w:t xml:space="preserve"> </w:t>
      </w:r>
      <w:proofErr w:type="spellStart"/>
      <w:r w:rsidR="00061187" w:rsidRPr="003D425F">
        <w:rPr>
          <w:rFonts w:ascii="Calibri" w:hAnsi="Calibri" w:cs="Calibri"/>
        </w:rPr>
        <w:t>reciklabilnih</w:t>
      </w:r>
      <w:proofErr w:type="spellEnd"/>
      <w:r w:rsidR="00061187" w:rsidRPr="003D425F">
        <w:rPr>
          <w:rFonts w:ascii="Calibri" w:hAnsi="Calibri" w:cs="Calibri"/>
        </w:rPr>
        <w:t xml:space="preserve"> frakcija.</w:t>
      </w:r>
    </w:p>
    <w:p w14:paraId="420B5271" w14:textId="291F49BB" w:rsidR="00061187" w:rsidRDefault="00061187" w:rsidP="00061187">
      <w:pPr>
        <w:spacing w:line="180" w:lineRule="atLeast"/>
        <w:ind w:firstLine="709"/>
        <w:jc w:val="both"/>
        <w:rPr>
          <w:rFonts w:ascii="Calibri" w:hAnsi="Calibri" w:cs="Calibri"/>
        </w:rPr>
      </w:pPr>
      <w:r w:rsidRPr="003D425F">
        <w:rPr>
          <w:rFonts w:ascii="Calibri" w:hAnsi="Calibri" w:cs="Calibri"/>
        </w:rPr>
        <w:lastRenderedPageBreak/>
        <w:t>Analiza tržišta rada, kao i unutarnji pokazatelji Društva, upućuju na povećanu fluktuaciju radne snage, uključujući učestale odlaske zaposlenika</w:t>
      </w:r>
      <w:r>
        <w:rPr>
          <w:rFonts w:ascii="Calibri" w:hAnsi="Calibri" w:cs="Calibri"/>
        </w:rPr>
        <w:t xml:space="preserve"> zbog </w:t>
      </w:r>
      <w:proofErr w:type="spellStart"/>
      <w:r>
        <w:rPr>
          <w:rFonts w:ascii="Calibri" w:hAnsi="Calibri" w:cs="Calibri"/>
        </w:rPr>
        <w:t>nekonkurentskih</w:t>
      </w:r>
      <w:proofErr w:type="spellEnd"/>
      <w:r>
        <w:rPr>
          <w:rFonts w:ascii="Calibri" w:hAnsi="Calibri" w:cs="Calibri"/>
        </w:rPr>
        <w:t xml:space="preserve"> plaća</w:t>
      </w:r>
      <w:r w:rsidRPr="003D425F">
        <w:rPr>
          <w:rFonts w:ascii="Calibri" w:hAnsi="Calibri" w:cs="Calibri"/>
        </w:rPr>
        <w:t>, što dodatno otežava održavanje kontinuiteta i sigurnosti operativnog poslovanja.</w:t>
      </w:r>
      <w:r>
        <w:rPr>
          <w:rFonts w:ascii="Calibri" w:hAnsi="Calibri" w:cs="Calibri"/>
        </w:rPr>
        <w:t xml:space="preserve"> </w:t>
      </w:r>
    </w:p>
    <w:p w14:paraId="476698CF" w14:textId="1C2569D9" w:rsidR="00061187" w:rsidRPr="00785AC5" w:rsidRDefault="00061187" w:rsidP="00061187">
      <w:pPr>
        <w:spacing w:line="180" w:lineRule="atLeast"/>
        <w:ind w:firstLine="709"/>
        <w:jc w:val="both"/>
        <w:rPr>
          <w:rFonts w:ascii="Calibri" w:hAnsi="Calibri" w:cs="Calibri"/>
        </w:rPr>
      </w:pPr>
      <w:r>
        <w:rPr>
          <w:rFonts w:ascii="Calibri" w:hAnsi="Calibri" w:cs="Calibri"/>
        </w:rPr>
        <w:t xml:space="preserve">U nastavku su prikazani podaci o prihodima i rashodima te rezultatu poslovanja u periodu od 2021. godine do 2025. godine </w:t>
      </w:r>
      <w:r w:rsidR="008551A7">
        <w:rPr>
          <w:rFonts w:ascii="Calibri" w:hAnsi="Calibri" w:cs="Calibri"/>
        </w:rPr>
        <w:t>uz</w:t>
      </w:r>
      <w:r>
        <w:rPr>
          <w:rFonts w:ascii="Calibri" w:hAnsi="Calibri" w:cs="Calibri"/>
        </w:rPr>
        <w:t xml:space="preserve"> projekciju troškova za 2026. godinu s projekcijom prihoda temeljeno</w:t>
      </w:r>
      <w:r w:rsidR="00EA1D90">
        <w:rPr>
          <w:rFonts w:ascii="Calibri" w:hAnsi="Calibri" w:cs="Calibri"/>
        </w:rPr>
        <w:t>j</w:t>
      </w:r>
      <w:r>
        <w:rPr>
          <w:rFonts w:ascii="Calibri" w:hAnsi="Calibri" w:cs="Calibri"/>
        </w:rPr>
        <w:t xml:space="preserve"> na </w:t>
      </w:r>
      <w:r w:rsidRPr="00785AC5">
        <w:rPr>
          <w:rFonts w:ascii="Calibri" w:hAnsi="Calibri" w:cs="Calibri"/>
        </w:rPr>
        <w:t>postojećoj cijeni.</w:t>
      </w:r>
    </w:p>
    <w:p w14:paraId="46011C48" w14:textId="77777777" w:rsidR="00061187" w:rsidRDefault="00061187" w:rsidP="00061187">
      <w:pPr>
        <w:spacing w:line="180" w:lineRule="atLeast"/>
        <w:ind w:firstLine="709"/>
        <w:jc w:val="both"/>
        <w:rPr>
          <w:rFonts w:ascii="Calibri" w:hAnsi="Calibri" w:cs="Calibri"/>
        </w:rPr>
      </w:pPr>
    </w:p>
    <w:p w14:paraId="33A6E341" w14:textId="77777777" w:rsidR="00061187" w:rsidRDefault="00061187" w:rsidP="00061187">
      <w:pPr>
        <w:spacing w:line="180" w:lineRule="atLeast"/>
        <w:jc w:val="center"/>
        <w:rPr>
          <w:rFonts w:ascii="Calibri" w:hAnsi="Calibri" w:cs="Calibri"/>
        </w:rPr>
      </w:pPr>
      <w:r w:rsidRPr="00806BEA">
        <w:rPr>
          <w:rFonts w:ascii="Calibri" w:hAnsi="Calibri" w:cs="Calibri"/>
          <w:noProof/>
        </w:rPr>
        <w:drawing>
          <wp:inline distT="0" distB="0" distL="0" distR="0" wp14:anchorId="1045B851" wp14:editId="761D142C">
            <wp:extent cx="5117515" cy="2657475"/>
            <wp:effectExtent l="0" t="0" r="6985" b="0"/>
            <wp:docPr id="21089992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5502" cy="2672009"/>
                    </a:xfrm>
                    <a:prstGeom prst="rect">
                      <a:avLst/>
                    </a:prstGeom>
                    <a:noFill/>
                    <a:ln>
                      <a:noFill/>
                    </a:ln>
                  </pic:spPr>
                </pic:pic>
              </a:graphicData>
            </a:graphic>
          </wp:inline>
        </w:drawing>
      </w:r>
    </w:p>
    <w:p w14:paraId="679BCEE1" w14:textId="77777777" w:rsidR="001058E6" w:rsidRDefault="001058E6" w:rsidP="001058E6">
      <w:pPr>
        <w:spacing w:line="180" w:lineRule="atLeast"/>
        <w:jc w:val="both"/>
        <w:rPr>
          <w:rFonts w:ascii="Calibri" w:hAnsi="Calibri" w:cs="Calibri"/>
        </w:rPr>
      </w:pPr>
    </w:p>
    <w:p w14:paraId="78E48061" w14:textId="72F32AF0" w:rsidR="001058E6" w:rsidRPr="001058E6" w:rsidRDefault="001058E6" w:rsidP="001058E6">
      <w:pPr>
        <w:spacing w:line="180" w:lineRule="atLeast"/>
        <w:ind w:firstLine="709"/>
        <w:jc w:val="both"/>
        <w:rPr>
          <w:rFonts w:ascii="Calibri" w:hAnsi="Calibri" w:cs="Calibri"/>
        </w:rPr>
      </w:pPr>
      <w:r w:rsidRPr="001058E6">
        <w:rPr>
          <w:rFonts w:ascii="Calibri" w:hAnsi="Calibri" w:cs="Calibri"/>
        </w:rPr>
        <w:t>Za osiguravanje kontinuiranog, kvalitetnog i ekonomski održivog pružanja javne usluge prikupljanja komunalnog otpada nužna su dodatna ulaganja u komunalna vozila i opremu. Prosječna starost postojećeg voznog parka iznosi 10 godina, što upućuje na potrebu njegove postupne obnove radi povećanja pouzdanosti i učinkovitosti obavljanja usluge.</w:t>
      </w:r>
    </w:p>
    <w:p w14:paraId="24665387" w14:textId="7C736B95" w:rsidR="001058E6" w:rsidRDefault="001058E6" w:rsidP="001058E6">
      <w:pPr>
        <w:spacing w:line="180" w:lineRule="atLeast"/>
        <w:ind w:firstLine="709"/>
        <w:jc w:val="both"/>
        <w:rPr>
          <w:rFonts w:ascii="Calibri" w:hAnsi="Calibri" w:cs="Calibri"/>
        </w:rPr>
      </w:pPr>
      <w:r w:rsidRPr="001058E6">
        <w:rPr>
          <w:rFonts w:ascii="Calibri" w:hAnsi="Calibri" w:cs="Calibri"/>
        </w:rPr>
        <w:t>Daljnje povećanje udjela odvojeno prikupljenog otpada podrazumijeva i prilagodbu organizacije rada, uključujući povećanje broja zaposlenika te osiguravanje primjerenih i konkurentnih plaća u cilju zadržavanja postojećih i privlačenja novih radnika.</w:t>
      </w:r>
    </w:p>
    <w:p w14:paraId="333A86FF" w14:textId="5F5C8BFE" w:rsidR="001058E6" w:rsidRDefault="001058E6" w:rsidP="001058E6">
      <w:pPr>
        <w:spacing w:line="180" w:lineRule="atLeast"/>
        <w:ind w:firstLine="709"/>
        <w:jc w:val="both"/>
        <w:rPr>
          <w:rFonts w:ascii="Calibri" w:hAnsi="Calibri" w:cs="Calibri"/>
        </w:rPr>
      </w:pPr>
      <w:r w:rsidRPr="001058E6">
        <w:rPr>
          <w:rFonts w:ascii="Calibri" w:hAnsi="Calibri" w:cs="Calibri"/>
        </w:rPr>
        <w:t>Istodobno, potrebno je uzeti u obzir troškove koji proizlaze iz kontinuiranog unaprjeđenja i širenja javne usluge, sukladno zakonskim obvezama i rastućim potrebama korisnika. Rast broja korisnika te rezultati provedenih analiza pokazuju da 35% korisnika iskazuje potrebu za povećanjem broja mjesečnih odvoza odvojeno prikupljenog otpada, kao i za intenzivnijim sakupljanjem miješanog komunalnog otpada i biootpada u ljetnim mjesecima.</w:t>
      </w:r>
    </w:p>
    <w:p w14:paraId="2F65AAAF" w14:textId="49B8023C" w:rsidR="00B74767" w:rsidRPr="00B74767" w:rsidRDefault="00B74767" w:rsidP="001058E6">
      <w:pPr>
        <w:spacing w:line="180" w:lineRule="atLeast"/>
        <w:ind w:firstLine="360"/>
        <w:jc w:val="both"/>
        <w:rPr>
          <w:rFonts w:asciiTheme="minorHAnsi" w:hAnsiTheme="minorHAnsi" w:cstheme="minorHAnsi"/>
          <w:color w:val="000000"/>
        </w:rPr>
      </w:pPr>
      <w:r w:rsidRPr="00B74767">
        <w:rPr>
          <w:rFonts w:asciiTheme="minorHAnsi" w:hAnsiTheme="minorHAnsi" w:cstheme="minorHAnsi"/>
          <w:color w:val="000000"/>
        </w:rPr>
        <w:t xml:space="preserve">Vlada Republike Hrvatske donijela je </w:t>
      </w:r>
      <w:r w:rsidR="008551A7">
        <w:rPr>
          <w:rFonts w:asciiTheme="minorHAnsi" w:hAnsiTheme="minorHAnsi" w:cstheme="minorHAnsi"/>
          <w:color w:val="000000"/>
        </w:rPr>
        <w:t xml:space="preserve">2024. godine </w:t>
      </w:r>
      <w:r w:rsidR="00CA0A46">
        <w:rPr>
          <w:rFonts w:asciiTheme="minorHAnsi" w:hAnsiTheme="minorHAnsi" w:cstheme="minorHAnsi"/>
          <w:color w:val="000000"/>
        </w:rPr>
        <w:t xml:space="preserve">i </w:t>
      </w:r>
      <w:r w:rsidRPr="00B74767">
        <w:rPr>
          <w:rFonts w:asciiTheme="minorHAnsi" w:hAnsiTheme="minorHAnsi" w:cstheme="minorHAnsi"/>
          <w:color w:val="000000"/>
        </w:rPr>
        <w:t>Uredbu o jediničnoj naknadi za odlaganje otpada (NN 137/2024).</w:t>
      </w:r>
      <w:r w:rsidR="00C15009">
        <w:rPr>
          <w:rFonts w:asciiTheme="minorHAnsi" w:hAnsiTheme="minorHAnsi" w:cstheme="minorHAnsi"/>
          <w:color w:val="000000"/>
        </w:rPr>
        <w:t xml:space="preserve"> </w:t>
      </w:r>
      <w:r w:rsidRPr="00B74767">
        <w:rPr>
          <w:rFonts w:asciiTheme="minorHAnsi" w:hAnsiTheme="minorHAnsi" w:cstheme="minorHAnsi"/>
          <w:color w:val="000000"/>
        </w:rPr>
        <w:t>Navedenom Uredbom propisana je naknada koju su davatelji javne usluge prikupljanja komunalnog otpada dužni plaćati Fondu za zaštitu okoliša i energetsku učinkovitost za svaku tonu otpada odloženog na odlagalište. Uredbom su utvrđeni sljedeći iznosi jedinične naknade:</w:t>
      </w:r>
    </w:p>
    <w:p w14:paraId="6A51C0F5" w14:textId="77777777" w:rsidR="00B74767" w:rsidRPr="00B74767" w:rsidRDefault="00B74767" w:rsidP="00B74767">
      <w:pPr>
        <w:numPr>
          <w:ilvl w:val="0"/>
          <w:numId w:val="16"/>
        </w:numPr>
        <w:spacing w:line="180" w:lineRule="atLeast"/>
        <w:jc w:val="both"/>
        <w:rPr>
          <w:rFonts w:asciiTheme="minorHAnsi" w:hAnsiTheme="minorHAnsi" w:cstheme="minorHAnsi"/>
          <w:color w:val="000000"/>
        </w:rPr>
      </w:pPr>
      <w:r w:rsidRPr="00B74767">
        <w:rPr>
          <w:rFonts w:asciiTheme="minorHAnsi" w:hAnsiTheme="minorHAnsi" w:cstheme="minorHAnsi"/>
          <w:color w:val="000000"/>
        </w:rPr>
        <w:t>30,00 eura po toni odloženog otpada za 2025. godinu</w:t>
      </w:r>
    </w:p>
    <w:p w14:paraId="5D64587C" w14:textId="77777777" w:rsidR="00B74767" w:rsidRPr="00B74767" w:rsidRDefault="00B74767" w:rsidP="00B74767">
      <w:pPr>
        <w:numPr>
          <w:ilvl w:val="0"/>
          <w:numId w:val="16"/>
        </w:numPr>
        <w:spacing w:line="180" w:lineRule="atLeast"/>
        <w:jc w:val="both"/>
        <w:rPr>
          <w:rFonts w:asciiTheme="minorHAnsi" w:hAnsiTheme="minorHAnsi" w:cstheme="minorHAnsi"/>
          <w:color w:val="000000"/>
        </w:rPr>
      </w:pPr>
      <w:r w:rsidRPr="00B74767">
        <w:rPr>
          <w:rFonts w:asciiTheme="minorHAnsi" w:hAnsiTheme="minorHAnsi" w:cstheme="minorHAnsi"/>
          <w:color w:val="000000"/>
        </w:rPr>
        <w:t>35,00 eura po toni odloženog otpada za 2026. godinu</w:t>
      </w:r>
    </w:p>
    <w:p w14:paraId="6DA372F2" w14:textId="77777777" w:rsidR="00B74767" w:rsidRPr="00B74767" w:rsidRDefault="00B74767" w:rsidP="00B74767">
      <w:pPr>
        <w:numPr>
          <w:ilvl w:val="0"/>
          <w:numId w:val="16"/>
        </w:numPr>
        <w:spacing w:line="180" w:lineRule="atLeast"/>
        <w:jc w:val="both"/>
        <w:rPr>
          <w:rFonts w:asciiTheme="minorHAnsi" w:hAnsiTheme="minorHAnsi" w:cstheme="minorHAnsi"/>
          <w:color w:val="000000"/>
        </w:rPr>
      </w:pPr>
      <w:r w:rsidRPr="00B74767">
        <w:rPr>
          <w:rFonts w:asciiTheme="minorHAnsi" w:hAnsiTheme="minorHAnsi" w:cstheme="minorHAnsi"/>
          <w:color w:val="000000"/>
        </w:rPr>
        <w:t>40,00 eura po toni odloženog otpada za 2027. godinu</w:t>
      </w:r>
    </w:p>
    <w:p w14:paraId="327DAF51" w14:textId="77777777" w:rsidR="00B74767" w:rsidRPr="00B74767" w:rsidRDefault="00B74767" w:rsidP="00B74767">
      <w:pPr>
        <w:numPr>
          <w:ilvl w:val="0"/>
          <w:numId w:val="16"/>
        </w:numPr>
        <w:spacing w:line="180" w:lineRule="atLeast"/>
        <w:jc w:val="both"/>
        <w:rPr>
          <w:rFonts w:asciiTheme="minorHAnsi" w:hAnsiTheme="minorHAnsi" w:cstheme="minorHAnsi"/>
          <w:color w:val="000000"/>
        </w:rPr>
      </w:pPr>
      <w:r w:rsidRPr="00B74767">
        <w:rPr>
          <w:rFonts w:asciiTheme="minorHAnsi" w:hAnsiTheme="minorHAnsi" w:cstheme="minorHAnsi"/>
          <w:color w:val="000000"/>
        </w:rPr>
        <w:t>45,00 eura po toni odloženog otpada za 2028. godinu</w:t>
      </w:r>
    </w:p>
    <w:p w14:paraId="1ABB8494" w14:textId="77777777" w:rsidR="00B74767" w:rsidRPr="00B74767" w:rsidRDefault="00B74767" w:rsidP="00B74767">
      <w:pPr>
        <w:numPr>
          <w:ilvl w:val="0"/>
          <w:numId w:val="16"/>
        </w:numPr>
        <w:spacing w:line="180" w:lineRule="atLeast"/>
        <w:jc w:val="both"/>
        <w:rPr>
          <w:rFonts w:asciiTheme="minorHAnsi" w:hAnsiTheme="minorHAnsi" w:cstheme="minorHAnsi"/>
          <w:color w:val="000000"/>
        </w:rPr>
      </w:pPr>
      <w:r w:rsidRPr="00B74767">
        <w:rPr>
          <w:rFonts w:asciiTheme="minorHAnsi" w:hAnsiTheme="minorHAnsi" w:cstheme="minorHAnsi"/>
          <w:color w:val="000000"/>
        </w:rPr>
        <w:t>50,00 eura po toni odloženog otpada za 2029. godinu i nadalje</w:t>
      </w:r>
    </w:p>
    <w:p w14:paraId="26D9E68D" w14:textId="41B63F52" w:rsidR="00B74767" w:rsidRPr="00B74767" w:rsidRDefault="00B74767" w:rsidP="00B74767">
      <w:pPr>
        <w:spacing w:line="180" w:lineRule="atLeast"/>
        <w:jc w:val="both"/>
        <w:rPr>
          <w:rFonts w:asciiTheme="minorHAnsi" w:hAnsiTheme="minorHAnsi" w:cstheme="minorHAnsi"/>
          <w:color w:val="000000"/>
        </w:rPr>
      </w:pPr>
      <w:r w:rsidRPr="00B74767">
        <w:rPr>
          <w:rFonts w:asciiTheme="minorHAnsi" w:hAnsiTheme="minorHAnsi" w:cstheme="minorHAnsi"/>
          <w:color w:val="000000"/>
        </w:rPr>
        <w:lastRenderedPageBreak/>
        <w:t>Gospodarenje otpadom Sisak d.o.o. tijekom proteklih godina značajno je smanjilo količine otpada koje se odlažu na odlagalište, tako da se danas na odlagalište uglavnom odlaže otpad iz javne usluge te minimalne količine otpada izvan javne usluge. Unatoč navedenom smanjenju, godišnje se i dalje odloži približno 8.000 tona miješanog komunalnog otpada prikupljenog u okviru javne usluge.</w:t>
      </w:r>
      <w:r w:rsidR="001C56F9">
        <w:rPr>
          <w:rFonts w:asciiTheme="minorHAnsi" w:hAnsiTheme="minorHAnsi" w:cstheme="minorHAnsi"/>
          <w:color w:val="000000"/>
        </w:rPr>
        <w:t xml:space="preserve"> </w:t>
      </w:r>
      <w:r w:rsidR="001C56F9" w:rsidRPr="001C56F9">
        <w:rPr>
          <w:rFonts w:asciiTheme="minorHAnsi" w:hAnsiTheme="minorHAnsi" w:cstheme="minorHAnsi"/>
          <w:color w:val="000000"/>
        </w:rPr>
        <w:t xml:space="preserve">Uzimajući u obzir godišnju količinu otpada koja se odlaže na odlagalište te propisane iznose jedinične naknade, jasno je da </w:t>
      </w:r>
      <w:r w:rsidR="001C56F9">
        <w:rPr>
          <w:rFonts w:asciiTheme="minorHAnsi" w:hAnsiTheme="minorHAnsi" w:cstheme="minorHAnsi"/>
          <w:color w:val="000000"/>
        </w:rPr>
        <w:t>da se radi</w:t>
      </w:r>
      <w:r w:rsidR="001C56F9" w:rsidRPr="001C56F9">
        <w:rPr>
          <w:rFonts w:asciiTheme="minorHAnsi" w:hAnsiTheme="minorHAnsi" w:cstheme="minorHAnsi"/>
          <w:color w:val="000000"/>
        </w:rPr>
        <w:t xml:space="preserve"> o značajnom financijskom opterećenju za davatelja javne usluge.</w:t>
      </w:r>
    </w:p>
    <w:p w14:paraId="5DB807B1" w14:textId="77777777" w:rsidR="00061187" w:rsidRPr="00D65FF3" w:rsidRDefault="00061187" w:rsidP="00B74767">
      <w:pPr>
        <w:spacing w:line="180" w:lineRule="atLeast"/>
        <w:jc w:val="both"/>
        <w:rPr>
          <w:rFonts w:ascii="Calibri" w:hAnsi="Calibri" w:cs="Calibri"/>
        </w:rPr>
      </w:pPr>
    </w:p>
    <w:p w14:paraId="780BECB6" w14:textId="47BDE7A1" w:rsidR="00061187" w:rsidRDefault="00061187" w:rsidP="00061187">
      <w:pPr>
        <w:ind w:firstLine="709"/>
        <w:jc w:val="both"/>
        <w:rPr>
          <w:rFonts w:asciiTheme="minorHAnsi" w:hAnsiTheme="minorHAnsi" w:cstheme="minorHAnsi"/>
          <w:color w:val="000000"/>
        </w:rPr>
      </w:pPr>
      <w:r w:rsidRPr="005C6394">
        <w:rPr>
          <w:rFonts w:asciiTheme="minorHAnsi" w:hAnsiTheme="minorHAnsi" w:cstheme="minorHAnsi"/>
          <w:color w:val="000000"/>
        </w:rPr>
        <w:t>Povećanje cijene javne usluge stoga je nužno kako bi se ispunila zakonska obveza pružanja javne usluge na ekonomski održiv način uz osiguranje sigurnosti, kvalitete i kontinuiteta poslovanja. U suprotnom, Društvo bi već</w:t>
      </w:r>
      <w:r w:rsidR="00EA1D90">
        <w:rPr>
          <w:rFonts w:asciiTheme="minorHAnsi" w:hAnsiTheme="minorHAnsi" w:cstheme="minorHAnsi"/>
          <w:color w:val="000000"/>
        </w:rPr>
        <w:t xml:space="preserve"> s početkom </w:t>
      </w:r>
      <w:r w:rsidRPr="005C6394">
        <w:rPr>
          <w:rFonts w:asciiTheme="minorHAnsi" w:hAnsiTheme="minorHAnsi" w:cstheme="minorHAnsi"/>
          <w:color w:val="000000"/>
        </w:rPr>
        <w:t>2026. godine počelo bilježiti značajne financijske gubitke.</w:t>
      </w:r>
    </w:p>
    <w:p w14:paraId="7C84F308" w14:textId="77777777" w:rsidR="00061187" w:rsidRDefault="00061187" w:rsidP="00061187">
      <w:pPr>
        <w:jc w:val="both"/>
        <w:rPr>
          <w:rFonts w:asciiTheme="minorHAnsi" w:hAnsiTheme="minorHAnsi" w:cstheme="minorHAnsi"/>
          <w:color w:val="000000"/>
        </w:rPr>
      </w:pPr>
    </w:p>
    <w:p w14:paraId="136C6FEC" w14:textId="00FB3B20" w:rsidR="00061187" w:rsidRPr="00785AC5" w:rsidRDefault="00061187" w:rsidP="00061187">
      <w:pPr>
        <w:ind w:firstLine="709"/>
        <w:jc w:val="both"/>
        <w:rPr>
          <w:rFonts w:asciiTheme="minorHAnsi" w:hAnsiTheme="minorHAnsi" w:cstheme="minorHAnsi"/>
          <w:color w:val="000000"/>
        </w:rPr>
      </w:pPr>
      <w:r>
        <w:rPr>
          <w:rFonts w:asciiTheme="minorHAnsi" w:hAnsiTheme="minorHAnsi" w:cstheme="minorHAnsi"/>
          <w:color w:val="000000"/>
        </w:rPr>
        <w:t xml:space="preserve">U nastavku su prikazani isti podaci o prihodima i rashodima te rezultatu poslovanja u periodu od 2021. godine do 2025. uz projekciju za 2026. godinu </w:t>
      </w:r>
      <w:r w:rsidRPr="00785AC5">
        <w:rPr>
          <w:rFonts w:asciiTheme="minorHAnsi" w:hAnsiTheme="minorHAnsi" w:cstheme="minorHAnsi"/>
          <w:color w:val="000000"/>
        </w:rPr>
        <w:t>s povećanjem cijene javne usluge.</w:t>
      </w:r>
    </w:p>
    <w:p w14:paraId="420E6782" w14:textId="77777777" w:rsidR="00061187" w:rsidRDefault="00061187" w:rsidP="00061187">
      <w:pPr>
        <w:jc w:val="both"/>
        <w:rPr>
          <w:rFonts w:asciiTheme="minorHAnsi" w:hAnsiTheme="minorHAnsi" w:cstheme="minorHAnsi"/>
          <w:color w:val="000000"/>
        </w:rPr>
      </w:pPr>
    </w:p>
    <w:p w14:paraId="3DA5B799" w14:textId="77777777" w:rsidR="00061187" w:rsidRDefault="00061187" w:rsidP="00061187">
      <w:pPr>
        <w:jc w:val="both"/>
        <w:rPr>
          <w:rFonts w:asciiTheme="minorHAnsi" w:hAnsiTheme="minorHAnsi" w:cstheme="minorHAnsi"/>
          <w:color w:val="000000"/>
        </w:rPr>
      </w:pPr>
    </w:p>
    <w:p w14:paraId="19814C77" w14:textId="77777777" w:rsidR="00061187" w:rsidRDefault="00061187" w:rsidP="008551A7">
      <w:pPr>
        <w:jc w:val="center"/>
        <w:rPr>
          <w:rFonts w:asciiTheme="minorHAnsi" w:hAnsiTheme="minorHAnsi" w:cstheme="minorHAnsi"/>
          <w:color w:val="000000"/>
        </w:rPr>
      </w:pPr>
      <w:r w:rsidRPr="007D26A3">
        <w:rPr>
          <w:rFonts w:asciiTheme="minorHAnsi" w:hAnsiTheme="minorHAnsi" w:cstheme="minorHAnsi"/>
          <w:noProof/>
          <w:color w:val="000000"/>
        </w:rPr>
        <w:drawing>
          <wp:inline distT="0" distB="0" distL="0" distR="0" wp14:anchorId="2E62D97E" wp14:editId="6F3A3512">
            <wp:extent cx="5388732" cy="2686050"/>
            <wp:effectExtent l="0" t="0" r="2540" b="0"/>
            <wp:docPr id="4472535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5954" cy="2694635"/>
                    </a:xfrm>
                    <a:prstGeom prst="rect">
                      <a:avLst/>
                    </a:prstGeom>
                    <a:noFill/>
                    <a:ln>
                      <a:noFill/>
                    </a:ln>
                  </pic:spPr>
                </pic:pic>
              </a:graphicData>
            </a:graphic>
          </wp:inline>
        </w:drawing>
      </w:r>
    </w:p>
    <w:p w14:paraId="105F2994" w14:textId="77777777" w:rsidR="00061187" w:rsidRDefault="00061187" w:rsidP="00061187">
      <w:pPr>
        <w:jc w:val="both"/>
        <w:rPr>
          <w:rFonts w:asciiTheme="minorHAnsi" w:hAnsiTheme="minorHAnsi" w:cstheme="minorHAnsi"/>
          <w:color w:val="000000"/>
        </w:rPr>
      </w:pPr>
    </w:p>
    <w:p w14:paraId="2DCADD05" w14:textId="6558CE2D" w:rsidR="00061187" w:rsidRDefault="00061187" w:rsidP="00061187">
      <w:pPr>
        <w:spacing w:line="180" w:lineRule="atLeast"/>
        <w:ind w:firstLine="709"/>
        <w:jc w:val="both"/>
        <w:rPr>
          <w:rFonts w:asciiTheme="minorHAnsi" w:hAnsiTheme="minorHAnsi" w:cstheme="minorHAnsi"/>
          <w:color w:val="000000"/>
        </w:rPr>
      </w:pPr>
      <w:r w:rsidRPr="009D4FA8">
        <w:rPr>
          <w:rFonts w:asciiTheme="minorHAnsi" w:hAnsiTheme="minorHAnsi" w:cstheme="minorHAnsi"/>
          <w:color w:val="000000"/>
        </w:rPr>
        <w:t>Uvođenje nužnog povećanja cijene</w:t>
      </w:r>
      <w:r>
        <w:rPr>
          <w:rFonts w:asciiTheme="minorHAnsi" w:hAnsiTheme="minorHAnsi" w:cstheme="minorHAnsi"/>
          <w:color w:val="000000"/>
        </w:rPr>
        <w:t xml:space="preserve"> javne usluge</w:t>
      </w:r>
      <w:r w:rsidRPr="009D4FA8">
        <w:rPr>
          <w:rFonts w:asciiTheme="minorHAnsi" w:hAnsiTheme="minorHAnsi" w:cstheme="minorHAnsi"/>
          <w:color w:val="000000"/>
        </w:rPr>
        <w:t xml:space="preserve"> omogućit će održivo, stabilno i kvalitetno obavljanje javne usluge prikupljanja komunalnog otpada, kao i osiguravanje sredstava potrebnih za daljnje unapređenje cjelokupnog sustava. Predviđeno povećanje prihoda omogućit će podizanje konkurentnosti plaća zaposlenika, čime se osigurava zadržavanje postojećeg kadra i privlačenje novih radnika potrebnih za proširenje obujma posla.</w:t>
      </w:r>
    </w:p>
    <w:p w14:paraId="7F81ACA0" w14:textId="75C3241B" w:rsidR="004E44E1" w:rsidRPr="001058E6" w:rsidRDefault="00061187" w:rsidP="001058E6">
      <w:pPr>
        <w:spacing w:line="180" w:lineRule="atLeast"/>
        <w:jc w:val="both"/>
        <w:rPr>
          <w:rFonts w:asciiTheme="minorHAnsi" w:hAnsiTheme="minorHAnsi" w:cstheme="minorHAnsi"/>
          <w:color w:val="000000"/>
        </w:rPr>
      </w:pPr>
      <w:r w:rsidRPr="009D4FA8">
        <w:rPr>
          <w:rFonts w:asciiTheme="minorHAnsi" w:hAnsiTheme="minorHAnsi" w:cstheme="minorHAnsi"/>
          <w:color w:val="000000"/>
        </w:rPr>
        <w:t xml:space="preserve">Planirano je uvođenje dodatnih linija prikupljanja otpada, što zahtijeva zapošljavanje </w:t>
      </w:r>
      <w:r>
        <w:rPr>
          <w:rFonts w:asciiTheme="minorHAnsi" w:hAnsiTheme="minorHAnsi" w:cstheme="minorHAnsi"/>
          <w:color w:val="000000"/>
        </w:rPr>
        <w:t>određenog</w:t>
      </w:r>
      <w:r w:rsidRPr="009D4FA8">
        <w:rPr>
          <w:rFonts w:asciiTheme="minorHAnsi" w:hAnsiTheme="minorHAnsi" w:cstheme="minorHAnsi"/>
          <w:color w:val="000000"/>
        </w:rPr>
        <w:t xml:space="preserve"> broja radnika te dodatna ulaganja u modernizaciju i nabavu vozila. Na taj će se način osigurati učinkovito sakupljanje otpada na proširenoj mreži linija, uz istodobno smanjenje prosječne starosti postojećeg voznog parka. Ulaganjem u novu opremu i vozila te jačanjem radne snage, korisnicima će se pružiti viša razina usluge, uz dugoročno pouzdan i održiv sustav gospodarenja otpadom.</w:t>
      </w:r>
      <w:r>
        <w:rPr>
          <w:rFonts w:asciiTheme="minorHAnsi" w:hAnsiTheme="minorHAnsi" w:cstheme="minorHAnsi"/>
          <w:color w:val="000000"/>
        </w:rPr>
        <w:t xml:space="preserve"> Povećanjem cijene usluge osigurat će se i sredstva za naknadu za odlaganje otpada propisanu Uredbom o jediničnoj naknadi za odlaganje otpada. </w:t>
      </w:r>
    </w:p>
    <w:p w14:paraId="2233BD78" w14:textId="61949440" w:rsidR="004E44E1" w:rsidRPr="00BE7D58" w:rsidRDefault="004E44E1" w:rsidP="004E44E1">
      <w:pPr>
        <w:pStyle w:val="Odlomakpopisa"/>
        <w:numPr>
          <w:ilvl w:val="0"/>
          <w:numId w:val="13"/>
        </w:numPr>
        <w:spacing w:line="180" w:lineRule="atLeast"/>
        <w:jc w:val="both"/>
        <w:rPr>
          <w:rFonts w:ascii="Calibri" w:hAnsi="Calibri" w:cs="Calibri"/>
          <w:b/>
          <w:bCs/>
        </w:rPr>
      </w:pPr>
      <w:r w:rsidRPr="00BE7D58">
        <w:rPr>
          <w:rFonts w:ascii="Calibri" w:hAnsi="Calibri" w:cs="Calibri"/>
          <w:b/>
          <w:bCs/>
        </w:rPr>
        <w:lastRenderedPageBreak/>
        <w:t>Cijena javne usluge</w:t>
      </w:r>
    </w:p>
    <w:p w14:paraId="06954F3B" w14:textId="77777777" w:rsidR="004E44E1" w:rsidRDefault="004E44E1" w:rsidP="004E44E1">
      <w:pPr>
        <w:spacing w:line="180" w:lineRule="atLeast"/>
        <w:jc w:val="both"/>
        <w:rPr>
          <w:rFonts w:ascii="Calibri" w:hAnsi="Calibri" w:cs="Calibri"/>
        </w:rPr>
      </w:pPr>
    </w:p>
    <w:p w14:paraId="57C73911" w14:textId="17496C8E" w:rsidR="00BE7D58" w:rsidRDefault="00BE7D58" w:rsidP="00BE7D58">
      <w:pPr>
        <w:spacing w:line="180" w:lineRule="atLeast"/>
        <w:ind w:firstLine="709"/>
        <w:jc w:val="both"/>
        <w:rPr>
          <w:rFonts w:ascii="Calibri" w:hAnsi="Calibri" w:cs="Calibri"/>
        </w:rPr>
      </w:pPr>
      <w:r>
        <w:rPr>
          <w:rFonts w:ascii="Calibri" w:hAnsi="Calibri" w:cs="Calibri"/>
        </w:rPr>
        <w:t>Član</w:t>
      </w:r>
      <w:r w:rsidR="009D4FA8">
        <w:rPr>
          <w:rFonts w:ascii="Calibri" w:hAnsi="Calibri" w:cs="Calibri"/>
        </w:rPr>
        <w:t>kom</w:t>
      </w:r>
      <w:r>
        <w:rPr>
          <w:rFonts w:ascii="Calibri" w:hAnsi="Calibri" w:cs="Calibri"/>
        </w:rPr>
        <w:t xml:space="preserve"> 65. Zakona definirano je da se </w:t>
      </w:r>
      <w:r w:rsidR="008551A7">
        <w:rPr>
          <w:rFonts w:ascii="Calibri" w:hAnsi="Calibri" w:cs="Calibri"/>
        </w:rPr>
        <w:t xml:space="preserve">javna </w:t>
      </w:r>
      <w:r>
        <w:rPr>
          <w:rFonts w:ascii="Calibri" w:hAnsi="Calibri" w:cs="Calibri"/>
        </w:rPr>
        <w:t xml:space="preserve">usluge </w:t>
      </w:r>
      <w:r w:rsidR="008551A7">
        <w:rPr>
          <w:rFonts w:ascii="Calibri" w:hAnsi="Calibri" w:cs="Calibri"/>
        </w:rPr>
        <w:t>prikupljanja komunalnog otpada</w:t>
      </w:r>
      <w:r>
        <w:rPr>
          <w:rFonts w:ascii="Calibri" w:hAnsi="Calibri" w:cs="Calibri"/>
        </w:rPr>
        <w:t xml:space="preserve"> </w:t>
      </w:r>
      <w:r w:rsidRPr="00BE7D58">
        <w:rPr>
          <w:rFonts w:ascii="Calibri" w:hAnsi="Calibri" w:cs="Calibri"/>
        </w:rPr>
        <w:t>financira iz sredstava prikupljenih naplatom cijene javne usluge i ugovorne kazne, a mo</w:t>
      </w:r>
      <w:r w:rsidR="008551A7">
        <w:rPr>
          <w:rFonts w:ascii="Calibri" w:hAnsi="Calibri" w:cs="Calibri"/>
        </w:rPr>
        <w:t>že</w:t>
      </w:r>
      <w:r w:rsidRPr="00BE7D58">
        <w:rPr>
          <w:rFonts w:ascii="Calibri" w:hAnsi="Calibri" w:cs="Calibri"/>
        </w:rPr>
        <w:t xml:space="preserve"> se financirati </w:t>
      </w:r>
      <w:r w:rsidR="008551A7">
        <w:rPr>
          <w:rFonts w:ascii="Calibri" w:hAnsi="Calibri" w:cs="Calibri"/>
        </w:rPr>
        <w:t xml:space="preserve">i </w:t>
      </w:r>
      <w:r w:rsidRPr="00BE7D58">
        <w:rPr>
          <w:rFonts w:ascii="Calibri" w:hAnsi="Calibri" w:cs="Calibri"/>
        </w:rPr>
        <w:t>iz proračuna jedinice lokalne samouprave i iz drugih izvora.</w:t>
      </w:r>
      <w:r>
        <w:rPr>
          <w:rFonts w:ascii="Calibri" w:hAnsi="Calibri" w:cs="Calibri"/>
        </w:rPr>
        <w:t xml:space="preserve"> Članak 75. Zakona definira Cijenu javne usluge koja se plaća radi pokrića troškova pružanja javne usluge. Struktura cijene također je definirana člankom 75. Zakona. </w:t>
      </w:r>
      <w:r w:rsidRPr="00BE7D58">
        <w:rPr>
          <w:rFonts w:ascii="Calibri" w:hAnsi="Calibri" w:cs="Calibri"/>
        </w:rPr>
        <w:t>Strukturu cijene javne usluge čini:</w:t>
      </w:r>
    </w:p>
    <w:p w14:paraId="4FB80D10" w14:textId="77777777" w:rsidR="00BE7D58" w:rsidRPr="00BE7D58" w:rsidRDefault="00BE7D58" w:rsidP="00BE7D58">
      <w:pPr>
        <w:spacing w:line="180" w:lineRule="atLeast"/>
        <w:jc w:val="both"/>
        <w:rPr>
          <w:rFonts w:ascii="Calibri" w:hAnsi="Calibri" w:cs="Calibri"/>
        </w:rPr>
      </w:pPr>
    </w:p>
    <w:p w14:paraId="10E52582" w14:textId="2F92C2ED" w:rsidR="00BE7D58" w:rsidRPr="00BE7D58" w:rsidRDefault="009557B8" w:rsidP="00BE7D58">
      <w:pPr>
        <w:spacing w:line="180" w:lineRule="atLeast"/>
        <w:jc w:val="both"/>
        <w:rPr>
          <w:rFonts w:ascii="Calibri" w:hAnsi="Calibri" w:cs="Calibri"/>
        </w:rPr>
      </w:pPr>
      <w:r>
        <w:rPr>
          <w:rFonts w:ascii="Calibri" w:hAnsi="Calibri" w:cs="Calibri"/>
        </w:rPr>
        <w:t>a)</w:t>
      </w:r>
      <w:r w:rsidR="00BE7D58" w:rsidRPr="00BE7D58">
        <w:rPr>
          <w:rFonts w:ascii="Calibri" w:hAnsi="Calibri" w:cs="Calibri"/>
        </w:rPr>
        <w:t xml:space="preserve"> cijena za količinu predanog miješanog komunalnog otpada i</w:t>
      </w:r>
    </w:p>
    <w:p w14:paraId="41DCA805" w14:textId="21397C5E" w:rsidR="00BE7D58" w:rsidRPr="00BE7D58" w:rsidRDefault="009557B8" w:rsidP="00BE7D58">
      <w:pPr>
        <w:spacing w:line="180" w:lineRule="atLeast"/>
        <w:jc w:val="both"/>
        <w:rPr>
          <w:rFonts w:ascii="Calibri" w:hAnsi="Calibri" w:cs="Calibri"/>
        </w:rPr>
      </w:pPr>
      <w:r>
        <w:rPr>
          <w:rFonts w:ascii="Calibri" w:hAnsi="Calibri" w:cs="Calibri"/>
        </w:rPr>
        <w:t>b)</w:t>
      </w:r>
      <w:r w:rsidR="00BE7D58" w:rsidRPr="009557B8">
        <w:rPr>
          <w:rFonts w:ascii="Calibri" w:hAnsi="Calibri" w:cs="Calibri"/>
        </w:rPr>
        <w:t xml:space="preserve"> cijena obvezne minimalne javne usluge.</w:t>
      </w:r>
    </w:p>
    <w:p w14:paraId="4CC079EF" w14:textId="49269FB5" w:rsidR="00BE7D58" w:rsidRPr="004E44E1" w:rsidRDefault="00BE7D58" w:rsidP="004E44E1">
      <w:pPr>
        <w:spacing w:line="180" w:lineRule="atLeast"/>
        <w:jc w:val="both"/>
        <w:rPr>
          <w:rFonts w:ascii="Calibri" w:hAnsi="Calibri" w:cs="Calibri"/>
        </w:rPr>
      </w:pPr>
    </w:p>
    <w:p w14:paraId="746C20B2" w14:textId="76D64F1C" w:rsidR="001C56F9" w:rsidRDefault="00BE7D58" w:rsidP="008551A7">
      <w:pPr>
        <w:spacing w:line="180" w:lineRule="atLeast"/>
        <w:ind w:firstLine="709"/>
        <w:jc w:val="both"/>
        <w:rPr>
          <w:rFonts w:ascii="Calibri" w:hAnsi="Calibri" w:cs="Calibri"/>
        </w:rPr>
      </w:pPr>
      <w:r w:rsidRPr="00BE7D58">
        <w:rPr>
          <w:rFonts w:ascii="Calibri" w:hAnsi="Calibri" w:cs="Calibri"/>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050E138F" w14:textId="77777777" w:rsidR="001C56F9" w:rsidRDefault="001C56F9" w:rsidP="001C56F9">
      <w:pPr>
        <w:spacing w:line="180" w:lineRule="atLeast"/>
        <w:ind w:firstLine="709"/>
        <w:jc w:val="both"/>
        <w:rPr>
          <w:rFonts w:ascii="Calibri" w:hAnsi="Calibri" w:cs="Calibri"/>
        </w:rPr>
      </w:pPr>
    </w:p>
    <w:p w14:paraId="08111B03" w14:textId="77777777" w:rsidR="001C56F9" w:rsidRPr="001058E6" w:rsidRDefault="001C56F9" w:rsidP="001058E6">
      <w:pPr>
        <w:spacing w:line="180" w:lineRule="atLeast"/>
        <w:ind w:firstLine="709"/>
        <w:jc w:val="both"/>
        <w:rPr>
          <w:rFonts w:ascii="Calibri" w:hAnsi="Calibri" w:cs="Calibri"/>
          <w:b/>
          <w:bCs/>
        </w:rPr>
      </w:pPr>
      <w:r w:rsidRPr="001058E6">
        <w:rPr>
          <w:rFonts w:ascii="Calibri" w:hAnsi="Calibri" w:cs="Calibri"/>
          <w:b/>
          <w:bCs/>
        </w:rPr>
        <w:t>Cijena obvezne minimalne javne usluge</w:t>
      </w:r>
    </w:p>
    <w:p w14:paraId="1345EF33" w14:textId="77777777" w:rsidR="001C56F9" w:rsidRDefault="001C56F9" w:rsidP="001C56F9">
      <w:pPr>
        <w:spacing w:line="180" w:lineRule="atLeast"/>
        <w:jc w:val="both"/>
        <w:rPr>
          <w:rFonts w:ascii="Calibri" w:hAnsi="Calibri" w:cs="Calibri"/>
        </w:rPr>
      </w:pPr>
    </w:p>
    <w:p w14:paraId="7CF63856" w14:textId="77777777" w:rsidR="001C56F9" w:rsidRPr="00BE7D58" w:rsidRDefault="001C56F9" w:rsidP="001C56F9">
      <w:pPr>
        <w:spacing w:line="180" w:lineRule="atLeast"/>
        <w:ind w:firstLine="709"/>
        <w:jc w:val="both"/>
        <w:rPr>
          <w:rFonts w:ascii="Calibri" w:hAnsi="Calibri" w:cs="Calibri"/>
        </w:rPr>
      </w:pPr>
      <w:r>
        <w:rPr>
          <w:rFonts w:ascii="Calibri" w:hAnsi="Calibri" w:cs="Calibri"/>
        </w:rPr>
        <w:t xml:space="preserve">Člankom 76. Zakona definirana je Obvezna minimalna cijena javne usluge. Radi se o iznosu </w:t>
      </w:r>
      <w:r w:rsidRPr="00BE7D58">
        <w:rPr>
          <w:rFonts w:ascii="Calibri" w:hAnsi="Calibri" w:cs="Calibri"/>
        </w:rPr>
        <w:t>koji se osigurava radi ekonomski održivog poslovanja te sigurnosti, redovitosti i kvalitete pružanja javne usluge, kako bi sustav sakupljanja komunalnog otpada mogao ispuniti svoju svrhu.</w:t>
      </w:r>
    </w:p>
    <w:p w14:paraId="0CDC4005" w14:textId="77777777" w:rsidR="001C56F9" w:rsidRPr="00BE7D58" w:rsidRDefault="001C56F9" w:rsidP="001C56F9">
      <w:pPr>
        <w:spacing w:line="180" w:lineRule="atLeast"/>
        <w:ind w:firstLine="709"/>
        <w:jc w:val="both"/>
        <w:rPr>
          <w:rFonts w:ascii="Calibri" w:hAnsi="Calibri" w:cs="Calibri"/>
        </w:rPr>
      </w:pPr>
      <w:r w:rsidRPr="00BE7D58">
        <w:rPr>
          <w:rFonts w:ascii="Calibri" w:hAnsi="Calibri" w:cs="Calibri"/>
        </w:rPr>
        <w:t>Cijena obvezne minimalne javne usluge dio je cijene javne usluge.</w:t>
      </w:r>
    </w:p>
    <w:p w14:paraId="7890AE32" w14:textId="77777777" w:rsidR="001C56F9" w:rsidRPr="00BE7D58" w:rsidRDefault="001C56F9" w:rsidP="001C56F9">
      <w:pPr>
        <w:spacing w:line="180" w:lineRule="atLeast"/>
        <w:ind w:firstLine="709"/>
        <w:jc w:val="both"/>
        <w:rPr>
          <w:rFonts w:ascii="Calibri" w:hAnsi="Calibri" w:cs="Calibri"/>
        </w:rPr>
      </w:pPr>
      <w:r w:rsidRPr="00BE7D58">
        <w:rPr>
          <w:rFonts w:ascii="Calibri" w:hAnsi="Calibri" w:cs="Calibri"/>
        </w:rPr>
        <w:t>Na području pružanja javne usluge primjenjuje se:</w:t>
      </w:r>
    </w:p>
    <w:p w14:paraId="61779EB6" w14:textId="77777777" w:rsidR="001C56F9" w:rsidRPr="00BE7D58" w:rsidRDefault="001C56F9" w:rsidP="001C56F9">
      <w:pPr>
        <w:spacing w:line="180" w:lineRule="atLeast"/>
        <w:ind w:firstLine="709"/>
        <w:jc w:val="both"/>
        <w:rPr>
          <w:rFonts w:ascii="Calibri" w:hAnsi="Calibri" w:cs="Calibri"/>
        </w:rPr>
      </w:pPr>
      <w:r w:rsidRPr="00BE7D58">
        <w:rPr>
          <w:rFonts w:ascii="Calibri" w:hAnsi="Calibri" w:cs="Calibri"/>
        </w:rPr>
        <w:t>1. jedinstvena cijena obvezne minimalne javne usluge za korisnika usluge razvrstanog u kategoriju korisnika kućanstvo i</w:t>
      </w:r>
    </w:p>
    <w:p w14:paraId="45109158" w14:textId="77777777" w:rsidR="001C56F9" w:rsidRDefault="001C56F9" w:rsidP="001C56F9">
      <w:pPr>
        <w:spacing w:line="180" w:lineRule="atLeast"/>
        <w:ind w:firstLine="709"/>
        <w:jc w:val="both"/>
        <w:rPr>
          <w:rFonts w:ascii="Calibri" w:hAnsi="Calibri" w:cs="Calibri"/>
        </w:rPr>
      </w:pPr>
      <w:r w:rsidRPr="00BE7D58">
        <w:rPr>
          <w:rFonts w:ascii="Calibri" w:hAnsi="Calibri" w:cs="Calibri"/>
        </w:rPr>
        <w:t>2. jedinstvena cijena obvezne minimalne javne usluge za korisnika usluge razvrstanog u kategoriju korisnika koji nije kućanstvo.</w:t>
      </w:r>
    </w:p>
    <w:p w14:paraId="7ACB0A36" w14:textId="77777777" w:rsidR="008551A7" w:rsidRDefault="008551A7" w:rsidP="001C56F9">
      <w:pPr>
        <w:spacing w:line="180" w:lineRule="atLeast"/>
        <w:ind w:firstLine="709"/>
        <w:jc w:val="both"/>
        <w:rPr>
          <w:rFonts w:ascii="Calibri" w:hAnsi="Calibri" w:cs="Calibri"/>
        </w:rPr>
      </w:pPr>
    </w:p>
    <w:p w14:paraId="27A4C605" w14:textId="5A53C00A" w:rsidR="001C56F9" w:rsidRPr="001312CD" w:rsidRDefault="001C56F9" w:rsidP="001C56F9">
      <w:pPr>
        <w:spacing w:line="180" w:lineRule="atLeast"/>
        <w:ind w:firstLine="709"/>
        <w:jc w:val="both"/>
        <w:rPr>
          <w:rFonts w:ascii="Calibri" w:hAnsi="Calibri" w:cs="Calibri"/>
        </w:rPr>
      </w:pPr>
      <w:r w:rsidRPr="00D65FF3">
        <w:rPr>
          <w:rFonts w:asciiTheme="minorHAnsi" w:hAnsiTheme="minorHAnsi" w:cstheme="minorHAnsi"/>
          <w:color w:val="000000"/>
        </w:rPr>
        <w:t>Cijena obvezne minimalne javne usluge utvrđuje se kao zbroj ukupnih troškova pružanja javne usluge, isključujući troškove koji nastaju prikupljanjem, predajom i odlaganjem miješanog komunalnog otpada.</w:t>
      </w:r>
      <w:r>
        <w:rPr>
          <w:rFonts w:asciiTheme="minorHAnsi" w:hAnsiTheme="minorHAnsi" w:cstheme="minorHAnsi"/>
          <w:color w:val="000000"/>
        </w:rPr>
        <w:t xml:space="preserve"> Cijena obvezne minimalne javne usluge posebno se određuje za kategoriju korisnika koji su kućanstvo i kategoriju korisnika koji nisu kućanstvo.</w:t>
      </w:r>
    </w:p>
    <w:p w14:paraId="774D7A9D" w14:textId="77777777" w:rsidR="001C56F9" w:rsidRPr="001312CD" w:rsidRDefault="001C56F9" w:rsidP="001C56F9">
      <w:pPr>
        <w:spacing w:line="180" w:lineRule="atLeast"/>
        <w:ind w:firstLine="709"/>
        <w:jc w:val="both"/>
        <w:rPr>
          <w:rFonts w:asciiTheme="minorHAnsi" w:hAnsiTheme="minorHAnsi" w:cstheme="minorHAnsi"/>
          <w:color w:val="000000"/>
        </w:rPr>
      </w:pPr>
      <w:r w:rsidRPr="00ED1676">
        <w:rPr>
          <w:rFonts w:asciiTheme="minorHAnsi" w:hAnsiTheme="minorHAnsi" w:cstheme="minorHAnsi"/>
          <w:color w:val="000000"/>
        </w:rPr>
        <w:t>Omjer raspodjele troškova obvezne minimalne javne usluge između kategorije korisnika kućanstvo i kategorije korisnika koji nisu kućanstvo temelji se na odnosu broja korisnika u svakoj kategoriji te na udjelu količine predanog otpada.</w:t>
      </w:r>
      <w:r>
        <w:rPr>
          <w:rFonts w:asciiTheme="minorHAnsi" w:hAnsiTheme="minorHAnsi" w:cstheme="minorHAnsi"/>
          <w:color w:val="000000"/>
        </w:rPr>
        <w:t xml:space="preserve"> </w:t>
      </w:r>
      <w:r w:rsidRPr="00ED1676">
        <w:rPr>
          <w:rFonts w:asciiTheme="minorHAnsi" w:hAnsiTheme="minorHAnsi" w:cstheme="minorHAnsi"/>
          <w:color w:val="000000"/>
        </w:rPr>
        <w:t>Korisnici koji nisu kućanstvo značajno više opterećuju sustav gospodarenja otpadom, budući da jedan prosječan korisnik iz ove kategorije predaje približno 250% više otpada od prosječnog korisnika iz kategorije kućanstvo.</w:t>
      </w:r>
      <w:r>
        <w:rPr>
          <w:rFonts w:asciiTheme="minorHAnsi" w:hAnsiTheme="minorHAnsi" w:cstheme="minorHAnsi"/>
          <w:color w:val="000000"/>
        </w:rPr>
        <w:t xml:space="preserve"> </w:t>
      </w:r>
      <w:r w:rsidRPr="00ED1676">
        <w:rPr>
          <w:rFonts w:asciiTheme="minorHAnsi" w:hAnsiTheme="minorHAnsi" w:cstheme="minorHAnsi"/>
          <w:color w:val="000000"/>
        </w:rPr>
        <w:t xml:space="preserve">U raspodjeli troškova uzet je u obzir i kriterij umanjenja cijene obvezne minimalne javne usluge za 50% za dio korisnika u kategoriji </w:t>
      </w:r>
      <w:r>
        <w:rPr>
          <w:rFonts w:asciiTheme="minorHAnsi" w:hAnsiTheme="minorHAnsi" w:cstheme="minorHAnsi"/>
          <w:color w:val="000000"/>
        </w:rPr>
        <w:t xml:space="preserve">korisnika </w:t>
      </w:r>
      <w:r w:rsidRPr="00ED1676">
        <w:rPr>
          <w:rFonts w:asciiTheme="minorHAnsi" w:hAnsiTheme="minorHAnsi" w:cstheme="minorHAnsi"/>
          <w:color w:val="000000"/>
        </w:rPr>
        <w:t>koji nisu kućanstvo</w:t>
      </w:r>
      <w:r>
        <w:rPr>
          <w:rFonts w:asciiTheme="minorHAnsi" w:hAnsiTheme="minorHAnsi" w:cstheme="minorHAnsi"/>
          <w:color w:val="000000"/>
        </w:rPr>
        <w:t xml:space="preserve"> i umanjenje od 1,00 EUR cijene obvezne minimalne javne usluge za dio korisnika u kategoriji korisnika koji su kućanstvo, a sve</w:t>
      </w:r>
      <w:r w:rsidRPr="00ED1676">
        <w:rPr>
          <w:rFonts w:asciiTheme="minorHAnsi" w:hAnsiTheme="minorHAnsi" w:cstheme="minorHAnsi"/>
          <w:color w:val="000000"/>
        </w:rPr>
        <w:t xml:space="preserve"> kako bi se osigurala pravednija i uravnotežen</w:t>
      </w:r>
      <w:r>
        <w:rPr>
          <w:rFonts w:asciiTheme="minorHAnsi" w:hAnsiTheme="minorHAnsi" w:cstheme="minorHAnsi"/>
          <w:color w:val="000000"/>
        </w:rPr>
        <w:t>a</w:t>
      </w:r>
      <w:r w:rsidRPr="00ED1676">
        <w:rPr>
          <w:rFonts w:asciiTheme="minorHAnsi" w:hAnsiTheme="minorHAnsi" w:cstheme="minorHAnsi"/>
          <w:color w:val="000000"/>
        </w:rPr>
        <w:t xml:space="preserve"> raspodjela troškova unutar kategorija.</w:t>
      </w:r>
    </w:p>
    <w:p w14:paraId="608A8508" w14:textId="3F8B95D7" w:rsidR="001C56F9" w:rsidRDefault="008551A7" w:rsidP="001C56F9">
      <w:pPr>
        <w:spacing w:line="180" w:lineRule="atLeast"/>
        <w:ind w:firstLine="709"/>
        <w:jc w:val="both"/>
        <w:rPr>
          <w:rFonts w:ascii="Calibri" w:hAnsi="Calibri" w:cs="Calibri"/>
        </w:rPr>
      </w:pPr>
      <w:r w:rsidRPr="008551A7">
        <w:rPr>
          <w:rFonts w:ascii="Calibri" w:hAnsi="Calibri" w:cs="Calibri"/>
        </w:rPr>
        <w:lastRenderedPageBreak/>
        <w:t>Svi troškovi se raspoređuju unutar svake kategorije korisnika tako da se ukupni troškovi kategorije dijele s ukupnim brojem korisnika te kategorije. Na taj način osigurava se Zakonom propisana jedinstvena cijena za sve korisnike unutar pojedine kategorije (članak 76. Zakona), bez obzira radi li se o korisnicima koji su kućanstva ili o korisnicima koji nisu kućanstva.</w:t>
      </w:r>
    </w:p>
    <w:p w14:paraId="3D6E6366" w14:textId="77777777" w:rsidR="008551A7" w:rsidRDefault="008551A7" w:rsidP="001C56F9">
      <w:pPr>
        <w:spacing w:line="180" w:lineRule="atLeast"/>
        <w:ind w:firstLine="709"/>
        <w:jc w:val="both"/>
        <w:rPr>
          <w:rFonts w:ascii="Calibri" w:hAnsi="Calibri" w:cs="Calibri"/>
        </w:rPr>
      </w:pPr>
    </w:p>
    <w:p w14:paraId="6A632AD6" w14:textId="79330E90" w:rsidR="001C56F9" w:rsidRPr="00785AC5" w:rsidRDefault="001C56F9" w:rsidP="001C56F9">
      <w:pPr>
        <w:spacing w:line="180" w:lineRule="atLeast"/>
        <w:ind w:firstLine="709"/>
        <w:jc w:val="both"/>
        <w:rPr>
          <w:rFonts w:ascii="Calibri" w:hAnsi="Calibri" w:cs="Calibri"/>
        </w:rPr>
      </w:pPr>
      <w:r>
        <w:rPr>
          <w:rFonts w:ascii="Calibri" w:hAnsi="Calibri" w:cs="Calibri"/>
        </w:rPr>
        <w:t xml:space="preserve">Sukladno izračunu određena je cijena obvezne minimalne javne usluge za kategoriju </w:t>
      </w:r>
      <w:r w:rsidRPr="00785AC5">
        <w:rPr>
          <w:rFonts w:ascii="Calibri" w:hAnsi="Calibri" w:cs="Calibri"/>
        </w:rPr>
        <w:t>korisnika koji su kućanstvo u iznosu od:</w:t>
      </w:r>
    </w:p>
    <w:p w14:paraId="796F4854" w14:textId="77777777" w:rsidR="001C56F9" w:rsidRPr="00785AC5" w:rsidRDefault="001C56F9" w:rsidP="001C56F9">
      <w:pPr>
        <w:spacing w:line="180" w:lineRule="atLeast"/>
        <w:ind w:firstLine="709"/>
        <w:jc w:val="center"/>
        <w:rPr>
          <w:rFonts w:ascii="Calibri" w:hAnsi="Calibri" w:cs="Calibri"/>
        </w:rPr>
      </w:pPr>
      <w:r w:rsidRPr="00785AC5">
        <w:rPr>
          <w:rFonts w:ascii="Calibri" w:hAnsi="Calibri" w:cs="Calibri"/>
        </w:rPr>
        <w:t>10,23 EUR +PDV (13%)</w:t>
      </w:r>
    </w:p>
    <w:p w14:paraId="3D36B0A2" w14:textId="77777777" w:rsidR="001C56F9" w:rsidRPr="00ED1676" w:rsidRDefault="001C56F9" w:rsidP="001C56F9">
      <w:pPr>
        <w:spacing w:line="180" w:lineRule="atLeast"/>
        <w:ind w:firstLine="709"/>
        <w:rPr>
          <w:rFonts w:ascii="Calibri" w:hAnsi="Calibri" w:cs="Calibri"/>
        </w:rPr>
      </w:pPr>
      <w:r>
        <w:rPr>
          <w:rFonts w:ascii="Calibri" w:hAnsi="Calibri" w:cs="Calibri"/>
        </w:rPr>
        <w:t>odnosno</w:t>
      </w:r>
      <w:r w:rsidRPr="00452CA9">
        <w:rPr>
          <w:rFonts w:ascii="Calibri" w:hAnsi="Calibri" w:cs="Calibri"/>
        </w:rPr>
        <w:t xml:space="preserve"> </w:t>
      </w:r>
      <w:r>
        <w:rPr>
          <w:rFonts w:ascii="Calibri" w:hAnsi="Calibri" w:cs="Calibri"/>
        </w:rPr>
        <w:t>9,23</w:t>
      </w:r>
      <w:r w:rsidRPr="00452CA9">
        <w:rPr>
          <w:rFonts w:ascii="Calibri" w:hAnsi="Calibri" w:cs="Calibri"/>
        </w:rPr>
        <w:t xml:space="preserve"> EUR +PDV (13%)</w:t>
      </w:r>
      <w:r>
        <w:rPr>
          <w:rFonts w:ascii="Calibri" w:hAnsi="Calibri" w:cs="Calibri"/>
        </w:rPr>
        <w:t xml:space="preserve"> za one korisnike iz kategorije korisnika koji su kućanstvo i koji ostvaruju pravo na umanjenje cijene obvezne minimalne javne usluge sukladno članku 32. Odluke</w:t>
      </w:r>
    </w:p>
    <w:p w14:paraId="762302E7" w14:textId="77777777" w:rsidR="001C56F9" w:rsidRPr="00452CA9" w:rsidRDefault="001C56F9" w:rsidP="001C56F9">
      <w:pPr>
        <w:spacing w:line="180" w:lineRule="atLeast"/>
        <w:ind w:firstLine="709"/>
        <w:jc w:val="both"/>
        <w:rPr>
          <w:rFonts w:ascii="Calibri" w:hAnsi="Calibri" w:cs="Calibri"/>
        </w:rPr>
      </w:pPr>
    </w:p>
    <w:p w14:paraId="38333FC5" w14:textId="77777777" w:rsidR="001C56F9" w:rsidRPr="00785AC5" w:rsidRDefault="001C56F9" w:rsidP="001C56F9">
      <w:pPr>
        <w:spacing w:line="180" w:lineRule="atLeast"/>
        <w:ind w:firstLine="709"/>
        <w:jc w:val="both"/>
        <w:rPr>
          <w:rFonts w:ascii="Calibri" w:hAnsi="Calibri" w:cs="Calibri"/>
        </w:rPr>
      </w:pPr>
      <w:r>
        <w:rPr>
          <w:rFonts w:ascii="Calibri" w:hAnsi="Calibri" w:cs="Calibri"/>
        </w:rPr>
        <w:t xml:space="preserve">i cijena obvezne minimalne javne usluge za kategoriju </w:t>
      </w:r>
      <w:r w:rsidRPr="00785AC5">
        <w:rPr>
          <w:rFonts w:ascii="Calibri" w:hAnsi="Calibri" w:cs="Calibri"/>
        </w:rPr>
        <w:t>korisnika koji nisu kućanstvo u iznosu od:</w:t>
      </w:r>
    </w:p>
    <w:p w14:paraId="2122391E" w14:textId="77777777" w:rsidR="001C56F9" w:rsidRPr="00785AC5" w:rsidRDefault="001C56F9" w:rsidP="001C56F9">
      <w:pPr>
        <w:spacing w:line="180" w:lineRule="atLeast"/>
        <w:ind w:firstLine="709"/>
        <w:jc w:val="center"/>
        <w:rPr>
          <w:rFonts w:ascii="Calibri" w:hAnsi="Calibri" w:cs="Calibri"/>
        </w:rPr>
      </w:pPr>
      <w:r w:rsidRPr="00785AC5">
        <w:rPr>
          <w:rFonts w:ascii="Calibri" w:hAnsi="Calibri" w:cs="Calibri"/>
        </w:rPr>
        <w:t>36,58 EUR +PDV (13%)</w:t>
      </w:r>
    </w:p>
    <w:p w14:paraId="38F5F17E" w14:textId="77777777" w:rsidR="001C56F9" w:rsidRDefault="001C56F9" w:rsidP="001C56F9">
      <w:pPr>
        <w:spacing w:line="180" w:lineRule="atLeast"/>
        <w:ind w:firstLine="709"/>
        <w:rPr>
          <w:rFonts w:ascii="Calibri" w:hAnsi="Calibri" w:cs="Calibri"/>
        </w:rPr>
      </w:pPr>
      <w:r>
        <w:rPr>
          <w:rFonts w:ascii="Calibri" w:hAnsi="Calibri" w:cs="Calibri"/>
        </w:rPr>
        <w:t>odnosno</w:t>
      </w:r>
      <w:r w:rsidRPr="00ED1676">
        <w:rPr>
          <w:rFonts w:ascii="Calibri" w:hAnsi="Calibri" w:cs="Calibri"/>
        </w:rPr>
        <w:t xml:space="preserve"> </w:t>
      </w:r>
      <w:r>
        <w:rPr>
          <w:rFonts w:ascii="Calibri" w:hAnsi="Calibri" w:cs="Calibri"/>
        </w:rPr>
        <w:t>18,29</w:t>
      </w:r>
      <w:r w:rsidRPr="00ED1676">
        <w:rPr>
          <w:rFonts w:ascii="Calibri" w:hAnsi="Calibri" w:cs="Calibri"/>
        </w:rPr>
        <w:t xml:space="preserve"> +PDV (13%)</w:t>
      </w:r>
      <w:r>
        <w:rPr>
          <w:rFonts w:ascii="Calibri" w:hAnsi="Calibri" w:cs="Calibri"/>
        </w:rPr>
        <w:t xml:space="preserve"> za one korisnike iz kategorije korisnika koji nisu kućanstvo i koji ostvaruju pravo na umanjenje cijene obvezne minimalne javne usluge sukladno članku 32. Odluke.</w:t>
      </w:r>
    </w:p>
    <w:p w14:paraId="41AF0F71" w14:textId="77777777" w:rsidR="009557B8" w:rsidRDefault="009557B8" w:rsidP="001C56F9">
      <w:pPr>
        <w:spacing w:line="180" w:lineRule="atLeast"/>
        <w:jc w:val="both"/>
        <w:rPr>
          <w:rFonts w:ascii="Calibri" w:hAnsi="Calibri" w:cs="Calibri"/>
        </w:rPr>
      </w:pPr>
    </w:p>
    <w:p w14:paraId="3078C194" w14:textId="77777777" w:rsidR="00FB3172" w:rsidRDefault="00FB3172" w:rsidP="00FB3172">
      <w:pPr>
        <w:spacing w:line="180" w:lineRule="atLeast"/>
        <w:rPr>
          <w:rFonts w:ascii="Calibri" w:hAnsi="Calibri" w:cs="Calibri"/>
          <w:b/>
          <w:bCs/>
        </w:rPr>
      </w:pPr>
    </w:p>
    <w:p w14:paraId="468D4F37" w14:textId="038BBFA6" w:rsidR="00FB3172" w:rsidRDefault="004E0F4B" w:rsidP="004E0F4B">
      <w:pPr>
        <w:pStyle w:val="Odlomakpopisa"/>
        <w:numPr>
          <w:ilvl w:val="0"/>
          <w:numId w:val="13"/>
        </w:numPr>
        <w:spacing w:line="180" w:lineRule="atLeast"/>
        <w:jc w:val="both"/>
        <w:rPr>
          <w:rFonts w:ascii="Calibri" w:hAnsi="Calibri" w:cs="Calibri"/>
          <w:b/>
          <w:bCs/>
        </w:rPr>
      </w:pPr>
      <w:r w:rsidRPr="004E0F4B">
        <w:rPr>
          <w:rFonts w:ascii="Calibri" w:hAnsi="Calibri" w:cs="Calibri"/>
          <w:b/>
          <w:bCs/>
        </w:rPr>
        <w:t>Komparativna analiza s drugim jedinicama lokalne samouprave</w:t>
      </w:r>
    </w:p>
    <w:p w14:paraId="15C12540" w14:textId="77777777" w:rsidR="004E0F4B" w:rsidRDefault="004E0F4B" w:rsidP="004E0F4B">
      <w:pPr>
        <w:spacing w:line="180" w:lineRule="atLeast"/>
        <w:jc w:val="both"/>
        <w:rPr>
          <w:rFonts w:ascii="Calibri" w:hAnsi="Calibri" w:cs="Calibri"/>
          <w:b/>
          <w:bCs/>
        </w:rPr>
      </w:pPr>
    </w:p>
    <w:p w14:paraId="16F94A3E" w14:textId="47301B82" w:rsidR="002F52B3" w:rsidRDefault="004E0F4B" w:rsidP="005D303B">
      <w:pPr>
        <w:spacing w:line="180" w:lineRule="atLeast"/>
        <w:ind w:firstLine="709"/>
        <w:jc w:val="both"/>
        <w:rPr>
          <w:rFonts w:ascii="Calibri" w:hAnsi="Calibri" w:cs="Calibri"/>
          <w:color w:val="000000" w:themeColor="text1"/>
        </w:rPr>
      </w:pPr>
      <w:r w:rsidRPr="004E0F4B">
        <w:rPr>
          <w:rFonts w:ascii="Calibri" w:hAnsi="Calibri" w:cs="Calibri"/>
          <w:color w:val="000000" w:themeColor="text1"/>
        </w:rPr>
        <w:t xml:space="preserve">U nastavku je prikazana usporedba </w:t>
      </w:r>
      <w:r w:rsidR="005E4108">
        <w:rPr>
          <w:rFonts w:ascii="Calibri" w:hAnsi="Calibri" w:cs="Calibri"/>
          <w:color w:val="000000" w:themeColor="text1"/>
        </w:rPr>
        <w:t xml:space="preserve">stare i </w:t>
      </w:r>
      <w:r w:rsidRPr="004E0F4B">
        <w:rPr>
          <w:rFonts w:ascii="Calibri" w:hAnsi="Calibri" w:cs="Calibri"/>
          <w:color w:val="000000" w:themeColor="text1"/>
        </w:rPr>
        <w:t>nove cijene javne usluge prikupljanja komunalnog otpada s cijenama u jedinicama lokalne samouprave usporedivima s Gradom Siskom prema broju stanovnika, kategoriji stupnja razvijenosti te pripadnosti istoj županiji.</w:t>
      </w:r>
      <w:r w:rsidR="005D303B">
        <w:rPr>
          <w:rFonts w:ascii="Calibri" w:hAnsi="Calibri" w:cs="Calibri"/>
          <w:color w:val="000000" w:themeColor="text1"/>
        </w:rPr>
        <w:t xml:space="preserve"> </w:t>
      </w:r>
      <w:r w:rsidR="005D303B" w:rsidRPr="005D303B">
        <w:rPr>
          <w:rFonts w:ascii="Calibri" w:hAnsi="Calibri" w:cs="Calibri"/>
          <w:color w:val="000000" w:themeColor="text1"/>
        </w:rPr>
        <w:t>Cijene su prikazane prema istim kriterijima, i to kao cijena obvezne minimalne javne usluge s dva odvoza spremnika volumena 120 litara, s uključenim PDV-om.</w:t>
      </w:r>
    </w:p>
    <w:p w14:paraId="246F868D" w14:textId="77777777" w:rsidR="005D303B" w:rsidRDefault="005D303B" w:rsidP="005D303B">
      <w:pPr>
        <w:spacing w:line="180" w:lineRule="atLeast"/>
        <w:ind w:firstLine="709"/>
        <w:jc w:val="both"/>
        <w:rPr>
          <w:rFonts w:ascii="Calibri" w:hAnsi="Calibri" w:cs="Calibri"/>
          <w:color w:val="000000" w:themeColor="text1"/>
        </w:rPr>
      </w:pPr>
    </w:p>
    <w:p w14:paraId="6A05A090" w14:textId="77777777" w:rsidR="005D303B" w:rsidRDefault="005D303B" w:rsidP="005D303B">
      <w:pPr>
        <w:spacing w:line="180" w:lineRule="atLeast"/>
        <w:ind w:firstLine="709"/>
        <w:jc w:val="both"/>
        <w:rPr>
          <w:rFonts w:ascii="Calibri" w:hAnsi="Calibri" w:cs="Calibri"/>
          <w:color w:val="000000" w:themeColor="text1"/>
        </w:rPr>
      </w:pPr>
    </w:p>
    <w:tbl>
      <w:tblPr>
        <w:tblW w:w="9940" w:type="dxa"/>
        <w:jc w:val="center"/>
        <w:tblLook w:val="04A0" w:firstRow="1" w:lastRow="0" w:firstColumn="1" w:lastColumn="0" w:noHBand="0" w:noVBand="1"/>
      </w:tblPr>
      <w:tblGrid>
        <w:gridCol w:w="2380"/>
        <w:gridCol w:w="1660"/>
        <w:gridCol w:w="1660"/>
        <w:gridCol w:w="1660"/>
        <w:gridCol w:w="1660"/>
        <w:gridCol w:w="920"/>
      </w:tblGrid>
      <w:tr w:rsidR="00885698" w:rsidRPr="00885698" w14:paraId="7F2DB45B" w14:textId="77777777" w:rsidTr="00885698">
        <w:trPr>
          <w:trHeight w:val="735"/>
          <w:jc w:val="center"/>
        </w:trPr>
        <w:tc>
          <w:tcPr>
            <w:tcW w:w="2380" w:type="dxa"/>
            <w:tcBorders>
              <w:top w:val="nil"/>
              <w:left w:val="nil"/>
              <w:bottom w:val="single" w:sz="8" w:space="0" w:color="auto"/>
              <w:right w:val="nil"/>
            </w:tcBorders>
            <w:vAlign w:val="center"/>
            <w:hideMark/>
          </w:tcPr>
          <w:p w14:paraId="1108547C" w14:textId="77777777" w:rsidR="00885698" w:rsidRPr="00885698" w:rsidRDefault="00885698" w:rsidP="00885698">
            <w:pPr>
              <w:suppressAutoHyphens w:val="0"/>
              <w:overflowPunct/>
              <w:spacing w:line="240" w:lineRule="auto"/>
              <w:jc w:val="center"/>
              <w:rPr>
                <w:rFonts w:ascii="Calibri" w:hAnsi="Calibri" w:cs="Calibri"/>
                <w:b/>
                <w:bCs/>
                <w:i/>
                <w:iCs/>
                <w:color w:val="000000"/>
                <w:kern w:val="0"/>
                <w:sz w:val="22"/>
                <w:szCs w:val="22"/>
                <w:lang w:eastAsia="hr-HR"/>
              </w:rPr>
            </w:pPr>
            <w:r w:rsidRPr="00885698">
              <w:rPr>
                <w:rFonts w:ascii="Calibri" w:hAnsi="Calibri" w:cs="Calibri"/>
                <w:b/>
                <w:bCs/>
                <w:i/>
                <w:iCs/>
                <w:color w:val="000000"/>
                <w:kern w:val="0"/>
                <w:sz w:val="22"/>
                <w:szCs w:val="22"/>
                <w:lang w:eastAsia="hr-HR"/>
              </w:rPr>
              <w:t>GRAD</w:t>
            </w:r>
          </w:p>
        </w:tc>
        <w:tc>
          <w:tcPr>
            <w:tcW w:w="1660" w:type="dxa"/>
            <w:tcBorders>
              <w:top w:val="nil"/>
              <w:left w:val="nil"/>
              <w:bottom w:val="single" w:sz="8" w:space="0" w:color="auto"/>
              <w:right w:val="nil"/>
            </w:tcBorders>
            <w:vAlign w:val="center"/>
            <w:hideMark/>
          </w:tcPr>
          <w:p w14:paraId="079DE04F" w14:textId="77777777" w:rsidR="00885698" w:rsidRPr="00885698" w:rsidRDefault="00885698" w:rsidP="00885698">
            <w:pPr>
              <w:suppressAutoHyphens w:val="0"/>
              <w:overflowPunct/>
              <w:spacing w:line="240" w:lineRule="auto"/>
              <w:jc w:val="center"/>
              <w:rPr>
                <w:rFonts w:ascii="Calibri" w:hAnsi="Calibri" w:cs="Calibri"/>
                <w:b/>
                <w:bCs/>
                <w:i/>
                <w:iCs/>
                <w:color w:val="000000"/>
                <w:kern w:val="0"/>
                <w:sz w:val="22"/>
                <w:szCs w:val="22"/>
                <w:lang w:eastAsia="hr-HR"/>
              </w:rPr>
            </w:pPr>
            <w:r w:rsidRPr="00885698">
              <w:rPr>
                <w:rFonts w:ascii="Calibri" w:hAnsi="Calibri" w:cs="Calibri"/>
                <w:b/>
                <w:bCs/>
                <w:i/>
                <w:iCs/>
                <w:color w:val="000000"/>
                <w:kern w:val="0"/>
                <w:sz w:val="22"/>
                <w:szCs w:val="22"/>
                <w:lang w:eastAsia="hr-HR"/>
              </w:rPr>
              <w:t>FIKSNI DIO</w:t>
            </w:r>
          </w:p>
        </w:tc>
        <w:tc>
          <w:tcPr>
            <w:tcW w:w="1660" w:type="dxa"/>
            <w:tcBorders>
              <w:top w:val="nil"/>
              <w:left w:val="nil"/>
              <w:bottom w:val="single" w:sz="8" w:space="0" w:color="auto"/>
              <w:right w:val="nil"/>
            </w:tcBorders>
            <w:vAlign w:val="center"/>
            <w:hideMark/>
          </w:tcPr>
          <w:p w14:paraId="4EB2E035" w14:textId="77777777" w:rsidR="00885698" w:rsidRPr="00885698" w:rsidRDefault="00885698" w:rsidP="00885698">
            <w:pPr>
              <w:suppressAutoHyphens w:val="0"/>
              <w:overflowPunct/>
              <w:spacing w:line="240" w:lineRule="auto"/>
              <w:jc w:val="center"/>
              <w:rPr>
                <w:rFonts w:ascii="Calibri" w:hAnsi="Calibri" w:cs="Calibri"/>
                <w:b/>
                <w:bCs/>
                <w:i/>
                <w:iCs/>
                <w:color w:val="000000"/>
                <w:kern w:val="0"/>
                <w:sz w:val="22"/>
                <w:szCs w:val="22"/>
                <w:lang w:eastAsia="hr-HR"/>
              </w:rPr>
            </w:pPr>
            <w:r w:rsidRPr="00885698">
              <w:rPr>
                <w:rFonts w:ascii="Calibri" w:hAnsi="Calibri" w:cs="Calibri"/>
                <w:b/>
                <w:bCs/>
                <w:i/>
                <w:iCs/>
                <w:color w:val="000000"/>
                <w:kern w:val="0"/>
                <w:sz w:val="22"/>
                <w:szCs w:val="22"/>
                <w:lang w:eastAsia="hr-HR"/>
              </w:rPr>
              <w:t>VARIJABILNI DIO (2x120 litara)</w:t>
            </w:r>
          </w:p>
        </w:tc>
        <w:tc>
          <w:tcPr>
            <w:tcW w:w="1660" w:type="dxa"/>
            <w:tcBorders>
              <w:top w:val="nil"/>
              <w:left w:val="nil"/>
              <w:bottom w:val="single" w:sz="8" w:space="0" w:color="auto"/>
              <w:right w:val="nil"/>
            </w:tcBorders>
            <w:vAlign w:val="center"/>
            <w:hideMark/>
          </w:tcPr>
          <w:p w14:paraId="3F504338" w14:textId="77777777" w:rsidR="00885698" w:rsidRPr="00885698" w:rsidRDefault="00885698" w:rsidP="00885698">
            <w:pPr>
              <w:suppressAutoHyphens w:val="0"/>
              <w:overflowPunct/>
              <w:spacing w:line="240" w:lineRule="auto"/>
              <w:jc w:val="center"/>
              <w:rPr>
                <w:rFonts w:ascii="Calibri" w:hAnsi="Calibri" w:cs="Calibri"/>
                <w:b/>
                <w:bCs/>
                <w:i/>
                <w:iCs/>
                <w:color w:val="000000"/>
                <w:kern w:val="0"/>
                <w:sz w:val="22"/>
                <w:szCs w:val="22"/>
                <w:lang w:eastAsia="hr-HR"/>
              </w:rPr>
            </w:pPr>
            <w:r w:rsidRPr="00885698">
              <w:rPr>
                <w:rFonts w:ascii="Calibri" w:hAnsi="Calibri" w:cs="Calibri"/>
                <w:b/>
                <w:bCs/>
                <w:i/>
                <w:iCs/>
                <w:color w:val="000000"/>
                <w:kern w:val="0"/>
                <w:sz w:val="22"/>
                <w:szCs w:val="22"/>
                <w:lang w:eastAsia="hr-HR"/>
              </w:rPr>
              <w:t>UKUPNO (bez PDV-a)</w:t>
            </w:r>
          </w:p>
        </w:tc>
        <w:tc>
          <w:tcPr>
            <w:tcW w:w="1660" w:type="dxa"/>
            <w:tcBorders>
              <w:top w:val="nil"/>
              <w:left w:val="nil"/>
              <w:bottom w:val="single" w:sz="8" w:space="0" w:color="auto"/>
              <w:right w:val="nil"/>
            </w:tcBorders>
            <w:vAlign w:val="center"/>
            <w:hideMark/>
          </w:tcPr>
          <w:p w14:paraId="052F9FC0" w14:textId="77777777" w:rsidR="00885698" w:rsidRPr="00885698" w:rsidRDefault="00885698" w:rsidP="00885698">
            <w:pPr>
              <w:suppressAutoHyphens w:val="0"/>
              <w:overflowPunct/>
              <w:spacing w:line="240" w:lineRule="auto"/>
              <w:jc w:val="center"/>
              <w:rPr>
                <w:rFonts w:ascii="Calibri" w:hAnsi="Calibri" w:cs="Calibri"/>
                <w:b/>
                <w:bCs/>
                <w:i/>
                <w:iCs/>
                <w:color w:val="000000"/>
                <w:kern w:val="0"/>
                <w:sz w:val="22"/>
                <w:szCs w:val="22"/>
                <w:lang w:eastAsia="hr-HR"/>
              </w:rPr>
            </w:pPr>
            <w:r w:rsidRPr="00885698">
              <w:rPr>
                <w:rFonts w:ascii="Calibri" w:hAnsi="Calibri" w:cs="Calibri"/>
                <w:b/>
                <w:bCs/>
                <w:i/>
                <w:iCs/>
                <w:color w:val="000000"/>
                <w:kern w:val="0"/>
                <w:sz w:val="22"/>
                <w:szCs w:val="22"/>
                <w:lang w:eastAsia="hr-HR"/>
              </w:rPr>
              <w:t>UKUPNO (s PDV-om)</w:t>
            </w:r>
          </w:p>
        </w:tc>
        <w:tc>
          <w:tcPr>
            <w:tcW w:w="920" w:type="dxa"/>
            <w:tcBorders>
              <w:top w:val="nil"/>
              <w:left w:val="nil"/>
              <w:bottom w:val="single" w:sz="8" w:space="0" w:color="auto"/>
              <w:right w:val="nil"/>
            </w:tcBorders>
            <w:vAlign w:val="center"/>
            <w:hideMark/>
          </w:tcPr>
          <w:p w14:paraId="0F104B84" w14:textId="77777777" w:rsidR="00885698" w:rsidRPr="00885698" w:rsidRDefault="00885698" w:rsidP="00885698">
            <w:pPr>
              <w:suppressAutoHyphens w:val="0"/>
              <w:overflowPunct/>
              <w:spacing w:line="240" w:lineRule="auto"/>
              <w:jc w:val="center"/>
              <w:rPr>
                <w:rFonts w:ascii="Calibri" w:hAnsi="Calibri" w:cs="Calibri"/>
                <w:b/>
                <w:bCs/>
                <w:i/>
                <w:iCs/>
                <w:color w:val="000000"/>
                <w:kern w:val="0"/>
                <w:sz w:val="22"/>
                <w:szCs w:val="22"/>
                <w:lang w:eastAsia="hr-HR"/>
              </w:rPr>
            </w:pPr>
            <w:r w:rsidRPr="00885698">
              <w:rPr>
                <w:rFonts w:ascii="Calibri" w:hAnsi="Calibri" w:cs="Calibri"/>
                <w:b/>
                <w:bCs/>
                <w:i/>
                <w:iCs/>
                <w:color w:val="000000"/>
                <w:kern w:val="0"/>
                <w:sz w:val="22"/>
                <w:szCs w:val="22"/>
                <w:lang w:eastAsia="hr-HR"/>
              </w:rPr>
              <w:t>%(+/-)</w:t>
            </w:r>
          </w:p>
        </w:tc>
      </w:tr>
      <w:tr w:rsidR="00885698" w:rsidRPr="00885698" w14:paraId="42A8F6A4" w14:textId="77777777" w:rsidTr="00885698">
        <w:trPr>
          <w:trHeight w:val="300"/>
          <w:jc w:val="center"/>
        </w:trPr>
        <w:tc>
          <w:tcPr>
            <w:tcW w:w="2380" w:type="dxa"/>
            <w:tcBorders>
              <w:top w:val="nil"/>
              <w:left w:val="nil"/>
              <w:bottom w:val="single" w:sz="4" w:space="0" w:color="auto"/>
              <w:right w:val="nil"/>
            </w:tcBorders>
            <w:noWrap/>
            <w:vAlign w:val="center"/>
            <w:hideMark/>
          </w:tcPr>
          <w:p w14:paraId="176D0A1C"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VARAŽDIN</w:t>
            </w:r>
          </w:p>
        </w:tc>
        <w:tc>
          <w:tcPr>
            <w:tcW w:w="1660" w:type="dxa"/>
            <w:tcBorders>
              <w:top w:val="nil"/>
              <w:left w:val="nil"/>
              <w:bottom w:val="single" w:sz="4" w:space="0" w:color="auto"/>
              <w:right w:val="nil"/>
            </w:tcBorders>
            <w:noWrap/>
            <w:vAlign w:val="center"/>
            <w:hideMark/>
          </w:tcPr>
          <w:p w14:paraId="4D29A22C"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15,13 €</w:t>
            </w:r>
          </w:p>
        </w:tc>
        <w:tc>
          <w:tcPr>
            <w:tcW w:w="1660" w:type="dxa"/>
            <w:tcBorders>
              <w:top w:val="nil"/>
              <w:left w:val="nil"/>
              <w:bottom w:val="single" w:sz="4" w:space="0" w:color="auto"/>
              <w:right w:val="nil"/>
            </w:tcBorders>
            <w:noWrap/>
            <w:vAlign w:val="center"/>
            <w:hideMark/>
          </w:tcPr>
          <w:p w14:paraId="513F4F32"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6,22 €</w:t>
            </w:r>
          </w:p>
        </w:tc>
        <w:tc>
          <w:tcPr>
            <w:tcW w:w="1660" w:type="dxa"/>
            <w:tcBorders>
              <w:top w:val="nil"/>
              <w:left w:val="nil"/>
              <w:bottom w:val="single" w:sz="4" w:space="0" w:color="auto"/>
              <w:right w:val="nil"/>
            </w:tcBorders>
            <w:noWrap/>
            <w:vAlign w:val="center"/>
            <w:hideMark/>
          </w:tcPr>
          <w:p w14:paraId="04CE0982"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21,35 €</w:t>
            </w:r>
          </w:p>
        </w:tc>
        <w:tc>
          <w:tcPr>
            <w:tcW w:w="1660" w:type="dxa"/>
            <w:tcBorders>
              <w:top w:val="nil"/>
              <w:left w:val="nil"/>
              <w:bottom w:val="single" w:sz="4" w:space="0" w:color="auto"/>
              <w:right w:val="nil"/>
            </w:tcBorders>
            <w:noWrap/>
            <w:vAlign w:val="center"/>
            <w:hideMark/>
          </w:tcPr>
          <w:p w14:paraId="6F4F799E"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24,13 €</w:t>
            </w:r>
          </w:p>
        </w:tc>
        <w:tc>
          <w:tcPr>
            <w:tcW w:w="920" w:type="dxa"/>
            <w:tcBorders>
              <w:top w:val="nil"/>
              <w:left w:val="nil"/>
              <w:bottom w:val="single" w:sz="4" w:space="0" w:color="auto"/>
              <w:right w:val="nil"/>
            </w:tcBorders>
            <w:noWrap/>
            <w:vAlign w:val="center"/>
            <w:hideMark/>
          </w:tcPr>
          <w:p w14:paraId="56F9A7D8"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48%</w:t>
            </w:r>
          </w:p>
        </w:tc>
      </w:tr>
      <w:tr w:rsidR="00885698" w:rsidRPr="00885698" w14:paraId="5282E3F0" w14:textId="77777777" w:rsidTr="00885698">
        <w:trPr>
          <w:trHeight w:val="300"/>
          <w:jc w:val="center"/>
        </w:trPr>
        <w:tc>
          <w:tcPr>
            <w:tcW w:w="2380" w:type="dxa"/>
            <w:tcBorders>
              <w:top w:val="nil"/>
              <w:left w:val="nil"/>
              <w:bottom w:val="single" w:sz="4" w:space="0" w:color="auto"/>
              <w:right w:val="nil"/>
            </w:tcBorders>
            <w:noWrap/>
            <w:vAlign w:val="center"/>
            <w:hideMark/>
          </w:tcPr>
          <w:p w14:paraId="670ABE01"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KUTINA</w:t>
            </w:r>
          </w:p>
        </w:tc>
        <w:tc>
          <w:tcPr>
            <w:tcW w:w="1660" w:type="dxa"/>
            <w:tcBorders>
              <w:top w:val="nil"/>
              <w:left w:val="nil"/>
              <w:bottom w:val="single" w:sz="4" w:space="0" w:color="auto"/>
              <w:right w:val="nil"/>
            </w:tcBorders>
            <w:noWrap/>
            <w:vAlign w:val="center"/>
            <w:hideMark/>
          </w:tcPr>
          <w:p w14:paraId="222810B2"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17,39 €</w:t>
            </w:r>
          </w:p>
        </w:tc>
        <w:tc>
          <w:tcPr>
            <w:tcW w:w="1660" w:type="dxa"/>
            <w:tcBorders>
              <w:top w:val="nil"/>
              <w:left w:val="nil"/>
              <w:bottom w:val="single" w:sz="4" w:space="0" w:color="auto"/>
              <w:right w:val="nil"/>
            </w:tcBorders>
            <w:noWrap/>
            <w:vAlign w:val="center"/>
            <w:hideMark/>
          </w:tcPr>
          <w:p w14:paraId="76153874"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3,30 €</w:t>
            </w:r>
          </w:p>
        </w:tc>
        <w:tc>
          <w:tcPr>
            <w:tcW w:w="1660" w:type="dxa"/>
            <w:tcBorders>
              <w:top w:val="nil"/>
              <w:left w:val="nil"/>
              <w:bottom w:val="single" w:sz="4" w:space="0" w:color="auto"/>
              <w:right w:val="nil"/>
            </w:tcBorders>
            <w:noWrap/>
            <w:vAlign w:val="center"/>
            <w:hideMark/>
          </w:tcPr>
          <w:p w14:paraId="2723B866"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20,69 €</w:t>
            </w:r>
          </w:p>
        </w:tc>
        <w:tc>
          <w:tcPr>
            <w:tcW w:w="1660" w:type="dxa"/>
            <w:tcBorders>
              <w:top w:val="nil"/>
              <w:left w:val="nil"/>
              <w:bottom w:val="single" w:sz="4" w:space="0" w:color="auto"/>
              <w:right w:val="nil"/>
            </w:tcBorders>
            <w:noWrap/>
            <w:vAlign w:val="center"/>
            <w:hideMark/>
          </w:tcPr>
          <w:p w14:paraId="2065D715"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23,38 €</w:t>
            </w:r>
          </w:p>
        </w:tc>
        <w:tc>
          <w:tcPr>
            <w:tcW w:w="920" w:type="dxa"/>
            <w:tcBorders>
              <w:top w:val="nil"/>
              <w:left w:val="nil"/>
              <w:bottom w:val="single" w:sz="4" w:space="0" w:color="auto"/>
              <w:right w:val="nil"/>
            </w:tcBorders>
            <w:noWrap/>
            <w:vAlign w:val="center"/>
            <w:hideMark/>
          </w:tcPr>
          <w:p w14:paraId="7DF8F2AD"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43%</w:t>
            </w:r>
          </w:p>
        </w:tc>
      </w:tr>
      <w:tr w:rsidR="00885698" w:rsidRPr="00885698" w14:paraId="7BC7F8DB" w14:textId="77777777" w:rsidTr="00885698">
        <w:trPr>
          <w:trHeight w:val="300"/>
          <w:jc w:val="center"/>
        </w:trPr>
        <w:tc>
          <w:tcPr>
            <w:tcW w:w="2380" w:type="dxa"/>
            <w:tcBorders>
              <w:top w:val="nil"/>
              <w:left w:val="nil"/>
              <w:bottom w:val="single" w:sz="4" w:space="0" w:color="auto"/>
              <w:right w:val="nil"/>
            </w:tcBorders>
            <w:noWrap/>
            <w:vAlign w:val="center"/>
            <w:hideMark/>
          </w:tcPr>
          <w:p w14:paraId="026F493B"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JASTREBARSKO</w:t>
            </w:r>
          </w:p>
        </w:tc>
        <w:tc>
          <w:tcPr>
            <w:tcW w:w="1660" w:type="dxa"/>
            <w:tcBorders>
              <w:top w:val="nil"/>
              <w:left w:val="nil"/>
              <w:bottom w:val="single" w:sz="4" w:space="0" w:color="auto"/>
              <w:right w:val="nil"/>
            </w:tcBorders>
            <w:noWrap/>
            <w:vAlign w:val="center"/>
            <w:hideMark/>
          </w:tcPr>
          <w:p w14:paraId="02590426"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14,93 €</w:t>
            </w:r>
          </w:p>
        </w:tc>
        <w:tc>
          <w:tcPr>
            <w:tcW w:w="1660" w:type="dxa"/>
            <w:tcBorders>
              <w:top w:val="nil"/>
              <w:left w:val="nil"/>
              <w:bottom w:val="single" w:sz="4" w:space="0" w:color="auto"/>
              <w:right w:val="nil"/>
            </w:tcBorders>
            <w:noWrap/>
            <w:vAlign w:val="center"/>
            <w:hideMark/>
          </w:tcPr>
          <w:p w14:paraId="2C00E3A0"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5,46 €</w:t>
            </w:r>
          </w:p>
        </w:tc>
        <w:tc>
          <w:tcPr>
            <w:tcW w:w="1660" w:type="dxa"/>
            <w:tcBorders>
              <w:top w:val="nil"/>
              <w:left w:val="nil"/>
              <w:bottom w:val="single" w:sz="4" w:space="0" w:color="auto"/>
              <w:right w:val="nil"/>
            </w:tcBorders>
            <w:noWrap/>
            <w:vAlign w:val="center"/>
            <w:hideMark/>
          </w:tcPr>
          <w:p w14:paraId="392935FB"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20,39 €</w:t>
            </w:r>
          </w:p>
        </w:tc>
        <w:tc>
          <w:tcPr>
            <w:tcW w:w="1660" w:type="dxa"/>
            <w:tcBorders>
              <w:top w:val="nil"/>
              <w:left w:val="nil"/>
              <w:bottom w:val="single" w:sz="4" w:space="0" w:color="auto"/>
              <w:right w:val="nil"/>
            </w:tcBorders>
            <w:noWrap/>
            <w:vAlign w:val="center"/>
            <w:hideMark/>
          </w:tcPr>
          <w:p w14:paraId="7D08AD9B"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23,04 €</w:t>
            </w:r>
          </w:p>
        </w:tc>
        <w:tc>
          <w:tcPr>
            <w:tcW w:w="920" w:type="dxa"/>
            <w:tcBorders>
              <w:top w:val="nil"/>
              <w:left w:val="nil"/>
              <w:bottom w:val="single" w:sz="4" w:space="0" w:color="auto"/>
              <w:right w:val="nil"/>
            </w:tcBorders>
            <w:noWrap/>
            <w:vAlign w:val="center"/>
            <w:hideMark/>
          </w:tcPr>
          <w:p w14:paraId="50F901D4"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41%</w:t>
            </w:r>
          </w:p>
        </w:tc>
      </w:tr>
      <w:tr w:rsidR="00885698" w:rsidRPr="00885698" w14:paraId="0EE9EC43" w14:textId="77777777" w:rsidTr="00885698">
        <w:trPr>
          <w:trHeight w:val="300"/>
          <w:jc w:val="center"/>
        </w:trPr>
        <w:tc>
          <w:tcPr>
            <w:tcW w:w="2380" w:type="dxa"/>
            <w:tcBorders>
              <w:top w:val="nil"/>
              <w:left w:val="nil"/>
              <w:bottom w:val="single" w:sz="4" w:space="0" w:color="auto"/>
              <w:right w:val="nil"/>
            </w:tcBorders>
            <w:noWrap/>
            <w:vAlign w:val="center"/>
            <w:hideMark/>
          </w:tcPr>
          <w:p w14:paraId="41A2D767"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DUGO SELO</w:t>
            </w:r>
          </w:p>
        </w:tc>
        <w:tc>
          <w:tcPr>
            <w:tcW w:w="1660" w:type="dxa"/>
            <w:tcBorders>
              <w:top w:val="nil"/>
              <w:left w:val="nil"/>
              <w:bottom w:val="single" w:sz="4" w:space="0" w:color="auto"/>
              <w:right w:val="nil"/>
            </w:tcBorders>
            <w:noWrap/>
            <w:vAlign w:val="center"/>
            <w:hideMark/>
          </w:tcPr>
          <w:p w14:paraId="1F2E6F59"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13,00 €</w:t>
            </w:r>
          </w:p>
        </w:tc>
        <w:tc>
          <w:tcPr>
            <w:tcW w:w="1660" w:type="dxa"/>
            <w:tcBorders>
              <w:top w:val="nil"/>
              <w:left w:val="nil"/>
              <w:bottom w:val="single" w:sz="4" w:space="0" w:color="auto"/>
              <w:right w:val="nil"/>
            </w:tcBorders>
            <w:noWrap/>
            <w:vAlign w:val="center"/>
            <w:hideMark/>
          </w:tcPr>
          <w:p w14:paraId="53727682"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5,68 €</w:t>
            </w:r>
          </w:p>
        </w:tc>
        <w:tc>
          <w:tcPr>
            <w:tcW w:w="1660" w:type="dxa"/>
            <w:tcBorders>
              <w:top w:val="nil"/>
              <w:left w:val="nil"/>
              <w:bottom w:val="single" w:sz="4" w:space="0" w:color="auto"/>
              <w:right w:val="nil"/>
            </w:tcBorders>
            <w:noWrap/>
            <w:vAlign w:val="center"/>
            <w:hideMark/>
          </w:tcPr>
          <w:p w14:paraId="69393683"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18,68 €</w:t>
            </w:r>
          </w:p>
        </w:tc>
        <w:tc>
          <w:tcPr>
            <w:tcW w:w="1660" w:type="dxa"/>
            <w:tcBorders>
              <w:top w:val="nil"/>
              <w:left w:val="nil"/>
              <w:bottom w:val="single" w:sz="4" w:space="0" w:color="auto"/>
              <w:right w:val="nil"/>
            </w:tcBorders>
            <w:noWrap/>
            <w:vAlign w:val="center"/>
            <w:hideMark/>
          </w:tcPr>
          <w:p w14:paraId="52ED1EE6"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21,11 €</w:t>
            </w:r>
          </w:p>
        </w:tc>
        <w:tc>
          <w:tcPr>
            <w:tcW w:w="920" w:type="dxa"/>
            <w:tcBorders>
              <w:top w:val="nil"/>
              <w:left w:val="nil"/>
              <w:bottom w:val="single" w:sz="4" w:space="0" w:color="auto"/>
              <w:right w:val="nil"/>
            </w:tcBorders>
            <w:noWrap/>
            <w:vAlign w:val="center"/>
            <w:hideMark/>
          </w:tcPr>
          <w:p w14:paraId="6DC73931"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29%</w:t>
            </w:r>
          </w:p>
        </w:tc>
      </w:tr>
      <w:tr w:rsidR="00885698" w:rsidRPr="00885698" w14:paraId="4B0DDE66" w14:textId="77777777" w:rsidTr="00885698">
        <w:trPr>
          <w:trHeight w:val="300"/>
          <w:jc w:val="center"/>
        </w:trPr>
        <w:tc>
          <w:tcPr>
            <w:tcW w:w="2380" w:type="dxa"/>
            <w:tcBorders>
              <w:top w:val="nil"/>
              <w:left w:val="nil"/>
              <w:bottom w:val="single" w:sz="4" w:space="0" w:color="auto"/>
              <w:right w:val="nil"/>
            </w:tcBorders>
            <w:noWrap/>
            <w:vAlign w:val="center"/>
            <w:hideMark/>
          </w:tcPr>
          <w:p w14:paraId="3F1989B3"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POPOVAČA</w:t>
            </w:r>
          </w:p>
        </w:tc>
        <w:tc>
          <w:tcPr>
            <w:tcW w:w="1660" w:type="dxa"/>
            <w:tcBorders>
              <w:top w:val="nil"/>
              <w:left w:val="nil"/>
              <w:bottom w:val="single" w:sz="4" w:space="0" w:color="auto"/>
              <w:right w:val="nil"/>
            </w:tcBorders>
            <w:noWrap/>
            <w:vAlign w:val="center"/>
            <w:hideMark/>
          </w:tcPr>
          <w:p w14:paraId="51C47D2E"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14,18 €</w:t>
            </w:r>
          </w:p>
        </w:tc>
        <w:tc>
          <w:tcPr>
            <w:tcW w:w="1660" w:type="dxa"/>
            <w:tcBorders>
              <w:top w:val="nil"/>
              <w:left w:val="nil"/>
              <w:bottom w:val="single" w:sz="4" w:space="0" w:color="auto"/>
              <w:right w:val="nil"/>
            </w:tcBorders>
            <w:noWrap/>
            <w:vAlign w:val="center"/>
            <w:hideMark/>
          </w:tcPr>
          <w:p w14:paraId="7A032FCA"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3,96 €</w:t>
            </w:r>
          </w:p>
        </w:tc>
        <w:tc>
          <w:tcPr>
            <w:tcW w:w="1660" w:type="dxa"/>
            <w:tcBorders>
              <w:top w:val="nil"/>
              <w:left w:val="nil"/>
              <w:bottom w:val="single" w:sz="4" w:space="0" w:color="auto"/>
              <w:right w:val="nil"/>
            </w:tcBorders>
            <w:noWrap/>
            <w:vAlign w:val="center"/>
            <w:hideMark/>
          </w:tcPr>
          <w:p w14:paraId="674D4FAB"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18,14 €</w:t>
            </w:r>
          </w:p>
        </w:tc>
        <w:tc>
          <w:tcPr>
            <w:tcW w:w="1660" w:type="dxa"/>
            <w:tcBorders>
              <w:top w:val="nil"/>
              <w:left w:val="nil"/>
              <w:bottom w:val="single" w:sz="4" w:space="0" w:color="auto"/>
              <w:right w:val="nil"/>
            </w:tcBorders>
            <w:noWrap/>
            <w:vAlign w:val="center"/>
            <w:hideMark/>
          </w:tcPr>
          <w:p w14:paraId="1BF6338E"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20,50 €</w:t>
            </w:r>
          </w:p>
        </w:tc>
        <w:tc>
          <w:tcPr>
            <w:tcW w:w="920" w:type="dxa"/>
            <w:tcBorders>
              <w:top w:val="nil"/>
              <w:left w:val="nil"/>
              <w:bottom w:val="single" w:sz="4" w:space="0" w:color="auto"/>
              <w:right w:val="nil"/>
            </w:tcBorders>
            <w:noWrap/>
            <w:vAlign w:val="center"/>
            <w:hideMark/>
          </w:tcPr>
          <w:p w14:paraId="4F249FA8"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26%</w:t>
            </w:r>
          </w:p>
        </w:tc>
      </w:tr>
      <w:tr w:rsidR="00885698" w:rsidRPr="00885698" w14:paraId="38D83418" w14:textId="77777777" w:rsidTr="00885698">
        <w:trPr>
          <w:trHeight w:val="300"/>
          <w:jc w:val="center"/>
        </w:trPr>
        <w:tc>
          <w:tcPr>
            <w:tcW w:w="2380" w:type="dxa"/>
            <w:tcBorders>
              <w:top w:val="nil"/>
              <w:left w:val="nil"/>
              <w:bottom w:val="single" w:sz="4" w:space="0" w:color="auto"/>
              <w:right w:val="nil"/>
            </w:tcBorders>
            <w:noWrap/>
            <w:vAlign w:val="center"/>
            <w:hideMark/>
          </w:tcPr>
          <w:p w14:paraId="6E19DE3F"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RIJEKA</w:t>
            </w:r>
          </w:p>
        </w:tc>
        <w:tc>
          <w:tcPr>
            <w:tcW w:w="1660" w:type="dxa"/>
            <w:tcBorders>
              <w:top w:val="nil"/>
              <w:left w:val="nil"/>
              <w:bottom w:val="single" w:sz="4" w:space="0" w:color="auto"/>
              <w:right w:val="nil"/>
            </w:tcBorders>
            <w:noWrap/>
            <w:vAlign w:val="center"/>
            <w:hideMark/>
          </w:tcPr>
          <w:p w14:paraId="71700601"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12,39 €</w:t>
            </w:r>
          </w:p>
        </w:tc>
        <w:tc>
          <w:tcPr>
            <w:tcW w:w="1660" w:type="dxa"/>
            <w:tcBorders>
              <w:top w:val="nil"/>
              <w:left w:val="nil"/>
              <w:bottom w:val="single" w:sz="4" w:space="0" w:color="auto"/>
              <w:right w:val="nil"/>
            </w:tcBorders>
            <w:noWrap/>
            <w:vAlign w:val="center"/>
            <w:hideMark/>
          </w:tcPr>
          <w:p w14:paraId="71A33C96"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4,80 €</w:t>
            </w:r>
          </w:p>
        </w:tc>
        <w:tc>
          <w:tcPr>
            <w:tcW w:w="1660" w:type="dxa"/>
            <w:tcBorders>
              <w:top w:val="nil"/>
              <w:left w:val="nil"/>
              <w:bottom w:val="single" w:sz="4" w:space="0" w:color="auto"/>
              <w:right w:val="nil"/>
            </w:tcBorders>
            <w:noWrap/>
            <w:vAlign w:val="center"/>
            <w:hideMark/>
          </w:tcPr>
          <w:p w14:paraId="1E5839CF"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17,19 €</w:t>
            </w:r>
          </w:p>
        </w:tc>
        <w:tc>
          <w:tcPr>
            <w:tcW w:w="1660" w:type="dxa"/>
            <w:tcBorders>
              <w:top w:val="nil"/>
              <w:left w:val="nil"/>
              <w:bottom w:val="single" w:sz="4" w:space="0" w:color="auto"/>
              <w:right w:val="nil"/>
            </w:tcBorders>
            <w:noWrap/>
            <w:vAlign w:val="center"/>
            <w:hideMark/>
          </w:tcPr>
          <w:p w14:paraId="39AE82A8"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19,42 €</w:t>
            </w:r>
          </w:p>
        </w:tc>
        <w:tc>
          <w:tcPr>
            <w:tcW w:w="920" w:type="dxa"/>
            <w:tcBorders>
              <w:top w:val="nil"/>
              <w:left w:val="nil"/>
              <w:bottom w:val="single" w:sz="4" w:space="0" w:color="auto"/>
              <w:right w:val="nil"/>
            </w:tcBorders>
            <w:noWrap/>
            <w:vAlign w:val="center"/>
            <w:hideMark/>
          </w:tcPr>
          <w:p w14:paraId="76D7334E"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19%</w:t>
            </w:r>
          </w:p>
        </w:tc>
      </w:tr>
      <w:tr w:rsidR="00885698" w:rsidRPr="00885698" w14:paraId="76A3B311" w14:textId="77777777" w:rsidTr="00885698">
        <w:trPr>
          <w:trHeight w:val="300"/>
          <w:jc w:val="center"/>
        </w:trPr>
        <w:tc>
          <w:tcPr>
            <w:tcW w:w="2380" w:type="dxa"/>
            <w:tcBorders>
              <w:top w:val="nil"/>
              <w:left w:val="nil"/>
              <w:bottom w:val="single" w:sz="4" w:space="0" w:color="auto"/>
              <w:right w:val="nil"/>
            </w:tcBorders>
            <w:noWrap/>
            <w:vAlign w:val="center"/>
            <w:hideMark/>
          </w:tcPr>
          <w:p w14:paraId="595340D4"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PETRINJA</w:t>
            </w:r>
          </w:p>
        </w:tc>
        <w:tc>
          <w:tcPr>
            <w:tcW w:w="1660" w:type="dxa"/>
            <w:tcBorders>
              <w:top w:val="nil"/>
              <w:left w:val="nil"/>
              <w:bottom w:val="single" w:sz="4" w:space="0" w:color="auto"/>
              <w:right w:val="nil"/>
            </w:tcBorders>
            <w:noWrap/>
            <w:vAlign w:val="center"/>
            <w:hideMark/>
          </w:tcPr>
          <w:p w14:paraId="69EAE320"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12,26 €</w:t>
            </w:r>
          </w:p>
        </w:tc>
        <w:tc>
          <w:tcPr>
            <w:tcW w:w="1660" w:type="dxa"/>
            <w:tcBorders>
              <w:top w:val="nil"/>
              <w:left w:val="nil"/>
              <w:bottom w:val="single" w:sz="4" w:space="0" w:color="auto"/>
              <w:right w:val="nil"/>
            </w:tcBorders>
            <w:noWrap/>
            <w:vAlign w:val="center"/>
            <w:hideMark/>
          </w:tcPr>
          <w:p w14:paraId="731821DB"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3,50 €</w:t>
            </w:r>
          </w:p>
        </w:tc>
        <w:tc>
          <w:tcPr>
            <w:tcW w:w="1660" w:type="dxa"/>
            <w:tcBorders>
              <w:top w:val="nil"/>
              <w:left w:val="nil"/>
              <w:bottom w:val="single" w:sz="4" w:space="0" w:color="auto"/>
              <w:right w:val="nil"/>
            </w:tcBorders>
            <w:noWrap/>
            <w:vAlign w:val="center"/>
            <w:hideMark/>
          </w:tcPr>
          <w:p w14:paraId="7FD7C996"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15,76 €</w:t>
            </w:r>
          </w:p>
        </w:tc>
        <w:tc>
          <w:tcPr>
            <w:tcW w:w="1660" w:type="dxa"/>
            <w:tcBorders>
              <w:top w:val="nil"/>
              <w:left w:val="nil"/>
              <w:bottom w:val="single" w:sz="4" w:space="0" w:color="auto"/>
              <w:right w:val="nil"/>
            </w:tcBorders>
            <w:noWrap/>
            <w:vAlign w:val="center"/>
            <w:hideMark/>
          </w:tcPr>
          <w:p w14:paraId="145D8997"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17,81 €</w:t>
            </w:r>
          </w:p>
        </w:tc>
        <w:tc>
          <w:tcPr>
            <w:tcW w:w="920" w:type="dxa"/>
            <w:tcBorders>
              <w:top w:val="nil"/>
              <w:left w:val="nil"/>
              <w:bottom w:val="single" w:sz="4" w:space="0" w:color="auto"/>
              <w:right w:val="nil"/>
            </w:tcBorders>
            <w:noWrap/>
            <w:vAlign w:val="center"/>
            <w:hideMark/>
          </w:tcPr>
          <w:p w14:paraId="63741057"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9%</w:t>
            </w:r>
          </w:p>
        </w:tc>
      </w:tr>
      <w:tr w:rsidR="00885698" w:rsidRPr="00885698" w14:paraId="5E74C504" w14:textId="77777777" w:rsidTr="00885698">
        <w:trPr>
          <w:trHeight w:val="300"/>
          <w:jc w:val="center"/>
        </w:trPr>
        <w:tc>
          <w:tcPr>
            <w:tcW w:w="2380" w:type="dxa"/>
            <w:tcBorders>
              <w:top w:val="nil"/>
              <w:left w:val="nil"/>
              <w:bottom w:val="single" w:sz="4" w:space="0" w:color="auto"/>
              <w:right w:val="nil"/>
            </w:tcBorders>
            <w:noWrap/>
            <w:vAlign w:val="center"/>
            <w:hideMark/>
          </w:tcPr>
          <w:p w14:paraId="01198EBD"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VELIKA GORICA</w:t>
            </w:r>
          </w:p>
        </w:tc>
        <w:tc>
          <w:tcPr>
            <w:tcW w:w="1660" w:type="dxa"/>
            <w:tcBorders>
              <w:top w:val="nil"/>
              <w:left w:val="nil"/>
              <w:bottom w:val="single" w:sz="4" w:space="0" w:color="auto"/>
              <w:right w:val="nil"/>
            </w:tcBorders>
            <w:noWrap/>
            <w:vAlign w:val="center"/>
            <w:hideMark/>
          </w:tcPr>
          <w:p w14:paraId="4C858A01"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12,00 €</w:t>
            </w:r>
          </w:p>
        </w:tc>
        <w:tc>
          <w:tcPr>
            <w:tcW w:w="1660" w:type="dxa"/>
            <w:tcBorders>
              <w:top w:val="nil"/>
              <w:left w:val="nil"/>
              <w:bottom w:val="single" w:sz="4" w:space="0" w:color="auto"/>
              <w:right w:val="nil"/>
            </w:tcBorders>
            <w:noWrap/>
            <w:vAlign w:val="center"/>
            <w:hideMark/>
          </w:tcPr>
          <w:p w14:paraId="3A0C1BAF"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3,60 €</w:t>
            </w:r>
          </w:p>
        </w:tc>
        <w:tc>
          <w:tcPr>
            <w:tcW w:w="1660" w:type="dxa"/>
            <w:tcBorders>
              <w:top w:val="nil"/>
              <w:left w:val="nil"/>
              <w:bottom w:val="single" w:sz="4" w:space="0" w:color="auto"/>
              <w:right w:val="nil"/>
            </w:tcBorders>
            <w:noWrap/>
            <w:vAlign w:val="center"/>
            <w:hideMark/>
          </w:tcPr>
          <w:p w14:paraId="7D8EED46"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15,60 €</w:t>
            </w:r>
          </w:p>
        </w:tc>
        <w:tc>
          <w:tcPr>
            <w:tcW w:w="1660" w:type="dxa"/>
            <w:tcBorders>
              <w:top w:val="nil"/>
              <w:left w:val="nil"/>
              <w:bottom w:val="single" w:sz="4" w:space="0" w:color="auto"/>
              <w:right w:val="nil"/>
            </w:tcBorders>
            <w:noWrap/>
            <w:vAlign w:val="center"/>
            <w:hideMark/>
          </w:tcPr>
          <w:p w14:paraId="6F319B6D"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17,63 €</w:t>
            </w:r>
          </w:p>
        </w:tc>
        <w:tc>
          <w:tcPr>
            <w:tcW w:w="920" w:type="dxa"/>
            <w:tcBorders>
              <w:top w:val="nil"/>
              <w:left w:val="nil"/>
              <w:bottom w:val="single" w:sz="4" w:space="0" w:color="auto"/>
              <w:right w:val="nil"/>
            </w:tcBorders>
            <w:noWrap/>
            <w:vAlign w:val="center"/>
            <w:hideMark/>
          </w:tcPr>
          <w:p w14:paraId="5D248E52"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8%</w:t>
            </w:r>
          </w:p>
        </w:tc>
      </w:tr>
      <w:tr w:rsidR="00885698" w:rsidRPr="00885698" w14:paraId="499AC2ED" w14:textId="77777777" w:rsidTr="00885698">
        <w:trPr>
          <w:trHeight w:val="300"/>
          <w:jc w:val="center"/>
        </w:trPr>
        <w:tc>
          <w:tcPr>
            <w:tcW w:w="2380" w:type="dxa"/>
            <w:tcBorders>
              <w:top w:val="nil"/>
              <w:left w:val="nil"/>
              <w:bottom w:val="single" w:sz="4" w:space="0" w:color="auto"/>
              <w:right w:val="nil"/>
            </w:tcBorders>
            <w:noWrap/>
            <w:vAlign w:val="center"/>
            <w:hideMark/>
          </w:tcPr>
          <w:p w14:paraId="40B71381"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NOVSKA</w:t>
            </w:r>
          </w:p>
        </w:tc>
        <w:tc>
          <w:tcPr>
            <w:tcW w:w="1660" w:type="dxa"/>
            <w:tcBorders>
              <w:top w:val="nil"/>
              <w:left w:val="nil"/>
              <w:bottom w:val="single" w:sz="4" w:space="0" w:color="auto"/>
              <w:right w:val="nil"/>
            </w:tcBorders>
            <w:noWrap/>
            <w:vAlign w:val="center"/>
            <w:hideMark/>
          </w:tcPr>
          <w:p w14:paraId="4A7408AA"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12,10 €</w:t>
            </w:r>
          </w:p>
        </w:tc>
        <w:tc>
          <w:tcPr>
            <w:tcW w:w="1660" w:type="dxa"/>
            <w:tcBorders>
              <w:top w:val="nil"/>
              <w:left w:val="nil"/>
              <w:bottom w:val="single" w:sz="4" w:space="0" w:color="auto"/>
              <w:right w:val="nil"/>
            </w:tcBorders>
            <w:noWrap/>
            <w:vAlign w:val="center"/>
            <w:hideMark/>
          </w:tcPr>
          <w:p w14:paraId="607D4290"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2,78 €</w:t>
            </w:r>
          </w:p>
        </w:tc>
        <w:tc>
          <w:tcPr>
            <w:tcW w:w="1660" w:type="dxa"/>
            <w:tcBorders>
              <w:top w:val="nil"/>
              <w:left w:val="nil"/>
              <w:bottom w:val="single" w:sz="4" w:space="0" w:color="auto"/>
              <w:right w:val="nil"/>
            </w:tcBorders>
            <w:noWrap/>
            <w:vAlign w:val="center"/>
            <w:hideMark/>
          </w:tcPr>
          <w:p w14:paraId="406F823A"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14,88 €</w:t>
            </w:r>
          </w:p>
        </w:tc>
        <w:tc>
          <w:tcPr>
            <w:tcW w:w="1660" w:type="dxa"/>
            <w:tcBorders>
              <w:top w:val="nil"/>
              <w:left w:val="nil"/>
              <w:bottom w:val="single" w:sz="4" w:space="0" w:color="auto"/>
              <w:right w:val="nil"/>
            </w:tcBorders>
            <w:noWrap/>
            <w:vAlign w:val="center"/>
            <w:hideMark/>
          </w:tcPr>
          <w:p w14:paraId="10E3C4D6"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16,81 €</w:t>
            </w:r>
          </w:p>
        </w:tc>
        <w:tc>
          <w:tcPr>
            <w:tcW w:w="920" w:type="dxa"/>
            <w:tcBorders>
              <w:top w:val="nil"/>
              <w:left w:val="nil"/>
              <w:bottom w:val="single" w:sz="4" w:space="0" w:color="auto"/>
              <w:right w:val="nil"/>
            </w:tcBorders>
            <w:noWrap/>
            <w:vAlign w:val="center"/>
            <w:hideMark/>
          </w:tcPr>
          <w:p w14:paraId="0D031073"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3%</w:t>
            </w:r>
          </w:p>
        </w:tc>
      </w:tr>
      <w:tr w:rsidR="00885698" w:rsidRPr="00885698" w14:paraId="7DB9C010" w14:textId="77777777" w:rsidTr="00885698">
        <w:trPr>
          <w:trHeight w:val="300"/>
          <w:jc w:val="center"/>
        </w:trPr>
        <w:tc>
          <w:tcPr>
            <w:tcW w:w="2380" w:type="dxa"/>
            <w:tcBorders>
              <w:top w:val="nil"/>
              <w:left w:val="nil"/>
              <w:bottom w:val="single" w:sz="4" w:space="0" w:color="auto"/>
              <w:right w:val="nil"/>
            </w:tcBorders>
            <w:shd w:val="clear" w:color="000000" w:fill="DDEBF7"/>
            <w:noWrap/>
            <w:vAlign w:val="center"/>
            <w:hideMark/>
          </w:tcPr>
          <w:p w14:paraId="5134CBF3"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SISAK (nova cijena)</w:t>
            </w:r>
          </w:p>
        </w:tc>
        <w:tc>
          <w:tcPr>
            <w:tcW w:w="1660" w:type="dxa"/>
            <w:tcBorders>
              <w:top w:val="nil"/>
              <w:left w:val="nil"/>
              <w:bottom w:val="single" w:sz="4" w:space="0" w:color="auto"/>
              <w:right w:val="nil"/>
            </w:tcBorders>
            <w:shd w:val="clear" w:color="000000" w:fill="DDEBF7"/>
            <w:noWrap/>
            <w:vAlign w:val="center"/>
            <w:hideMark/>
          </w:tcPr>
          <w:p w14:paraId="7180F88C"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10,23 €</w:t>
            </w:r>
          </w:p>
        </w:tc>
        <w:tc>
          <w:tcPr>
            <w:tcW w:w="1660" w:type="dxa"/>
            <w:tcBorders>
              <w:top w:val="nil"/>
              <w:left w:val="nil"/>
              <w:bottom w:val="single" w:sz="4" w:space="0" w:color="auto"/>
              <w:right w:val="nil"/>
            </w:tcBorders>
            <w:shd w:val="clear" w:color="000000" w:fill="DDEBF7"/>
            <w:noWrap/>
            <w:vAlign w:val="center"/>
            <w:hideMark/>
          </w:tcPr>
          <w:p w14:paraId="7BCC19CD"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4,20 €</w:t>
            </w:r>
          </w:p>
        </w:tc>
        <w:tc>
          <w:tcPr>
            <w:tcW w:w="1660" w:type="dxa"/>
            <w:tcBorders>
              <w:top w:val="nil"/>
              <w:left w:val="nil"/>
              <w:bottom w:val="single" w:sz="4" w:space="0" w:color="auto"/>
              <w:right w:val="nil"/>
            </w:tcBorders>
            <w:shd w:val="clear" w:color="000000" w:fill="DDEBF7"/>
            <w:noWrap/>
            <w:vAlign w:val="center"/>
            <w:hideMark/>
          </w:tcPr>
          <w:p w14:paraId="6006D2EB"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14,43 €</w:t>
            </w:r>
          </w:p>
        </w:tc>
        <w:tc>
          <w:tcPr>
            <w:tcW w:w="1660" w:type="dxa"/>
            <w:tcBorders>
              <w:top w:val="nil"/>
              <w:left w:val="nil"/>
              <w:bottom w:val="single" w:sz="4" w:space="0" w:color="auto"/>
              <w:right w:val="nil"/>
            </w:tcBorders>
            <w:shd w:val="clear" w:color="000000" w:fill="DDEBF7"/>
            <w:noWrap/>
            <w:vAlign w:val="center"/>
            <w:hideMark/>
          </w:tcPr>
          <w:p w14:paraId="00D66E8C"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16,31 €</w:t>
            </w:r>
          </w:p>
        </w:tc>
        <w:tc>
          <w:tcPr>
            <w:tcW w:w="920" w:type="dxa"/>
            <w:tcBorders>
              <w:top w:val="nil"/>
              <w:left w:val="nil"/>
              <w:bottom w:val="single" w:sz="4" w:space="0" w:color="auto"/>
              <w:right w:val="nil"/>
            </w:tcBorders>
            <w:shd w:val="clear" w:color="000000" w:fill="DDEBF7"/>
            <w:noWrap/>
            <w:vAlign w:val="center"/>
            <w:hideMark/>
          </w:tcPr>
          <w:p w14:paraId="3D5B96EC" w14:textId="77777777" w:rsidR="00885698" w:rsidRPr="00885698" w:rsidRDefault="00885698" w:rsidP="00885698">
            <w:pPr>
              <w:suppressAutoHyphens w:val="0"/>
              <w:overflowPunct/>
              <w:spacing w:line="240" w:lineRule="auto"/>
              <w:jc w:val="right"/>
              <w:rPr>
                <w:rFonts w:ascii="Calibri" w:hAnsi="Calibri" w:cs="Calibri"/>
                <w:color w:val="0070C0"/>
                <w:kern w:val="0"/>
                <w:sz w:val="22"/>
                <w:szCs w:val="22"/>
                <w:lang w:eastAsia="hr-HR"/>
              </w:rPr>
            </w:pPr>
            <w:r w:rsidRPr="00885698">
              <w:rPr>
                <w:rFonts w:ascii="Calibri" w:hAnsi="Calibri" w:cs="Calibri"/>
                <w:color w:val="0070C0"/>
                <w:kern w:val="0"/>
                <w:sz w:val="22"/>
                <w:szCs w:val="22"/>
                <w:lang w:eastAsia="hr-HR"/>
              </w:rPr>
              <w:t>0%</w:t>
            </w:r>
          </w:p>
        </w:tc>
      </w:tr>
      <w:tr w:rsidR="00885698" w:rsidRPr="00885698" w14:paraId="555AAE20" w14:textId="77777777" w:rsidTr="00885698">
        <w:trPr>
          <w:trHeight w:val="300"/>
          <w:jc w:val="center"/>
        </w:trPr>
        <w:tc>
          <w:tcPr>
            <w:tcW w:w="2380" w:type="dxa"/>
            <w:tcBorders>
              <w:top w:val="nil"/>
              <w:left w:val="nil"/>
              <w:bottom w:val="single" w:sz="4" w:space="0" w:color="auto"/>
              <w:right w:val="nil"/>
            </w:tcBorders>
            <w:shd w:val="clear" w:color="000000" w:fill="FCE4D6"/>
            <w:noWrap/>
            <w:vAlign w:val="center"/>
            <w:hideMark/>
          </w:tcPr>
          <w:p w14:paraId="4868A2E7" w14:textId="77777777" w:rsidR="00885698" w:rsidRPr="00885698" w:rsidRDefault="00885698" w:rsidP="00885698">
            <w:pPr>
              <w:suppressAutoHyphens w:val="0"/>
              <w:overflowPunct/>
              <w:spacing w:line="240" w:lineRule="auto"/>
              <w:jc w:val="center"/>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SISAK (važeća cijena)</w:t>
            </w:r>
          </w:p>
        </w:tc>
        <w:tc>
          <w:tcPr>
            <w:tcW w:w="1660" w:type="dxa"/>
            <w:tcBorders>
              <w:top w:val="nil"/>
              <w:left w:val="nil"/>
              <w:bottom w:val="single" w:sz="4" w:space="0" w:color="auto"/>
              <w:right w:val="nil"/>
            </w:tcBorders>
            <w:shd w:val="clear" w:color="000000" w:fill="FCE4D6"/>
            <w:noWrap/>
            <w:vAlign w:val="center"/>
            <w:hideMark/>
          </w:tcPr>
          <w:p w14:paraId="713E65C3"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6,42 €</w:t>
            </w:r>
          </w:p>
        </w:tc>
        <w:tc>
          <w:tcPr>
            <w:tcW w:w="1660" w:type="dxa"/>
            <w:tcBorders>
              <w:top w:val="nil"/>
              <w:left w:val="nil"/>
              <w:bottom w:val="single" w:sz="4" w:space="0" w:color="auto"/>
              <w:right w:val="nil"/>
            </w:tcBorders>
            <w:shd w:val="clear" w:color="000000" w:fill="FCE4D6"/>
            <w:noWrap/>
            <w:vAlign w:val="center"/>
            <w:hideMark/>
          </w:tcPr>
          <w:p w14:paraId="01D2CE9F"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2,78 €</w:t>
            </w:r>
          </w:p>
        </w:tc>
        <w:tc>
          <w:tcPr>
            <w:tcW w:w="1660" w:type="dxa"/>
            <w:tcBorders>
              <w:top w:val="nil"/>
              <w:left w:val="nil"/>
              <w:bottom w:val="single" w:sz="4" w:space="0" w:color="auto"/>
              <w:right w:val="nil"/>
            </w:tcBorders>
            <w:shd w:val="clear" w:color="000000" w:fill="FCE4D6"/>
            <w:noWrap/>
            <w:vAlign w:val="center"/>
            <w:hideMark/>
          </w:tcPr>
          <w:p w14:paraId="0F4D6914"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9,20 €</w:t>
            </w:r>
          </w:p>
        </w:tc>
        <w:tc>
          <w:tcPr>
            <w:tcW w:w="1660" w:type="dxa"/>
            <w:tcBorders>
              <w:top w:val="nil"/>
              <w:left w:val="nil"/>
              <w:bottom w:val="single" w:sz="4" w:space="0" w:color="auto"/>
              <w:right w:val="nil"/>
            </w:tcBorders>
            <w:shd w:val="clear" w:color="000000" w:fill="FCE4D6"/>
            <w:noWrap/>
            <w:vAlign w:val="center"/>
            <w:hideMark/>
          </w:tcPr>
          <w:p w14:paraId="27C4EA67" w14:textId="77777777" w:rsidR="00885698" w:rsidRPr="00885698" w:rsidRDefault="00885698" w:rsidP="00885698">
            <w:pPr>
              <w:suppressAutoHyphens w:val="0"/>
              <w:overflowPunct/>
              <w:spacing w:line="240" w:lineRule="auto"/>
              <w:jc w:val="right"/>
              <w:rPr>
                <w:rFonts w:ascii="Calibri" w:hAnsi="Calibri" w:cs="Calibri"/>
                <w:color w:val="000000"/>
                <w:kern w:val="0"/>
                <w:sz w:val="22"/>
                <w:szCs w:val="22"/>
                <w:lang w:eastAsia="hr-HR"/>
              </w:rPr>
            </w:pPr>
            <w:r w:rsidRPr="00885698">
              <w:rPr>
                <w:rFonts w:ascii="Calibri" w:hAnsi="Calibri" w:cs="Calibri"/>
                <w:color w:val="000000"/>
                <w:kern w:val="0"/>
                <w:sz w:val="22"/>
                <w:szCs w:val="22"/>
                <w:lang w:eastAsia="hr-HR"/>
              </w:rPr>
              <w:t>10,40 €</w:t>
            </w:r>
          </w:p>
        </w:tc>
        <w:tc>
          <w:tcPr>
            <w:tcW w:w="920" w:type="dxa"/>
            <w:tcBorders>
              <w:top w:val="nil"/>
              <w:left w:val="nil"/>
              <w:bottom w:val="single" w:sz="4" w:space="0" w:color="auto"/>
              <w:right w:val="nil"/>
            </w:tcBorders>
            <w:shd w:val="clear" w:color="000000" w:fill="FCE4D6"/>
            <w:noWrap/>
            <w:vAlign w:val="center"/>
            <w:hideMark/>
          </w:tcPr>
          <w:p w14:paraId="48613C7F" w14:textId="77777777" w:rsidR="00885698" w:rsidRPr="00885698" w:rsidRDefault="00885698" w:rsidP="00885698">
            <w:pPr>
              <w:suppressAutoHyphens w:val="0"/>
              <w:overflowPunct/>
              <w:spacing w:line="240" w:lineRule="auto"/>
              <w:jc w:val="right"/>
              <w:rPr>
                <w:rFonts w:ascii="Calibri" w:hAnsi="Calibri" w:cs="Calibri"/>
                <w:color w:val="C65911"/>
                <w:kern w:val="0"/>
                <w:sz w:val="22"/>
                <w:szCs w:val="22"/>
                <w:lang w:eastAsia="hr-HR"/>
              </w:rPr>
            </w:pPr>
            <w:r w:rsidRPr="00885698">
              <w:rPr>
                <w:rFonts w:ascii="Calibri" w:hAnsi="Calibri" w:cs="Calibri"/>
                <w:color w:val="C65911"/>
                <w:kern w:val="0"/>
                <w:sz w:val="22"/>
                <w:szCs w:val="22"/>
                <w:lang w:eastAsia="hr-HR"/>
              </w:rPr>
              <w:t>-36%</w:t>
            </w:r>
          </w:p>
        </w:tc>
      </w:tr>
    </w:tbl>
    <w:p w14:paraId="54F49E4B" w14:textId="77777777" w:rsidR="00EA1D90" w:rsidRDefault="00EA1D90" w:rsidP="004E0F4B">
      <w:pPr>
        <w:spacing w:line="180" w:lineRule="atLeast"/>
        <w:ind w:firstLine="709"/>
        <w:jc w:val="both"/>
        <w:rPr>
          <w:rFonts w:ascii="Calibri" w:hAnsi="Calibri" w:cs="Calibri"/>
          <w:color w:val="000000" w:themeColor="text1"/>
        </w:rPr>
      </w:pPr>
    </w:p>
    <w:p w14:paraId="390F7734" w14:textId="77777777" w:rsidR="00EA1D90" w:rsidRDefault="00EA1D90" w:rsidP="004E0F4B">
      <w:pPr>
        <w:spacing w:line="180" w:lineRule="atLeast"/>
        <w:ind w:firstLine="709"/>
        <w:jc w:val="both"/>
        <w:rPr>
          <w:rFonts w:ascii="Calibri" w:hAnsi="Calibri" w:cs="Calibri"/>
          <w:color w:val="000000" w:themeColor="text1"/>
        </w:rPr>
      </w:pPr>
    </w:p>
    <w:p w14:paraId="40B3D80F" w14:textId="465578CD" w:rsidR="005D303B" w:rsidRDefault="005E4108" w:rsidP="003C386B">
      <w:pPr>
        <w:spacing w:line="180" w:lineRule="atLeast"/>
        <w:ind w:firstLine="709"/>
        <w:jc w:val="both"/>
        <w:rPr>
          <w:rFonts w:ascii="Calibri" w:hAnsi="Calibri" w:cs="Calibri"/>
          <w:color w:val="000000" w:themeColor="text1"/>
        </w:rPr>
      </w:pPr>
      <w:r w:rsidRPr="005E4108">
        <w:rPr>
          <w:rFonts w:ascii="Calibri" w:hAnsi="Calibri" w:cs="Calibri"/>
          <w:color w:val="000000" w:themeColor="text1"/>
        </w:rPr>
        <w:lastRenderedPageBreak/>
        <w:t xml:space="preserve">Iz prikazanih podataka vidljivo je da Grad Sisak, unatoč povećanju cijene, i dalje zadržava nižu cijenu u odnosu na </w:t>
      </w:r>
      <w:r w:rsidR="003C386B">
        <w:rPr>
          <w:rFonts w:ascii="Calibri" w:hAnsi="Calibri" w:cs="Calibri"/>
          <w:color w:val="000000" w:themeColor="text1"/>
        </w:rPr>
        <w:t>usporedne jedinice lokalne samouprave, posebno one koje se nalaze na području naše županije i bližoj okolici.</w:t>
      </w:r>
      <w:r w:rsidRPr="005E4108">
        <w:rPr>
          <w:rFonts w:ascii="Calibri" w:hAnsi="Calibri" w:cs="Calibri"/>
          <w:color w:val="000000" w:themeColor="text1"/>
        </w:rPr>
        <w:t xml:space="preserve"> Budući da su u prikazu navedene i trenutno važeća te nova cijena usluge prikupljanja komunalnog otpada, jasno je da se radi o korekciji, provedenoj isključivo radi osiguranja ekonomske održivosti javne usluge te očuvanja njezine sigurnosti, kvalitete i kontinuiteta poslovanja.</w:t>
      </w:r>
    </w:p>
    <w:p w14:paraId="67DD8F3B" w14:textId="77777777" w:rsidR="005E4108" w:rsidRPr="004E0F4B" w:rsidRDefault="005E4108" w:rsidP="004E0F4B">
      <w:pPr>
        <w:spacing w:line="180" w:lineRule="atLeast"/>
        <w:ind w:firstLine="709"/>
        <w:jc w:val="both"/>
        <w:rPr>
          <w:rFonts w:ascii="Calibri" w:hAnsi="Calibri" w:cs="Calibri"/>
          <w:color w:val="000000" w:themeColor="text1"/>
        </w:rPr>
      </w:pPr>
    </w:p>
    <w:p w14:paraId="168CB714" w14:textId="5F259A4B" w:rsidR="003D153B" w:rsidRDefault="003D153B" w:rsidP="003D153B">
      <w:pPr>
        <w:spacing w:line="180" w:lineRule="atLeast"/>
        <w:jc w:val="both"/>
        <w:rPr>
          <w:rFonts w:ascii="Calibri" w:hAnsi="Calibri" w:cs="Calibri"/>
        </w:rPr>
      </w:pPr>
    </w:p>
    <w:bookmarkEnd w:id="0"/>
    <w:p w14:paraId="42774F91" w14:textId="77777777" w:rsidR="004E0F4B" w:rsidRDefault="004E0F4B" w:rsidP="003D153B">
      <w:pPr>
        <w:spacing w:line="180" w:lineRule="atLeast"/>
        <w:jc w:val="both"/>
        <w:rPr>
          <w:rFonts w:ascii="Calibri" w:hAnsi="Calibri" w:cs="Calibri"/>
        </w:rPr>
      </w:pPr>
    </w:p>
    <w:sectPr w:rsidR="004E0F4B" w:rsidSect="000E5227">
      <w:headerReference w:type="default" r:id="rId9"/>
      <w:footerReference w:type="default" r:id="rId10"/>
      <w:pgSz w:w="11906" w:h="16838"/>
      <w:pgMar w:top="1135" w:right="1417" w:bottom="1417" w:left="1417" w:header="85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7787" w14:textId="77777777" w:rsidR="009B4E79" w:rsidRDefault="009B4E79">
      <w:pPr>
        <w:spacing w:line="240" w:lineRule="auto"/>
      </w:pPr>
      <w:r>
        <w:separator/>
      </w:r>
    </w:p>
  </w:endnote>
  <w:endnote w:type="continuationSeparator" w:id="0">
    <w:p w14:paraId="184F64D8" w14:textId="77777777" w:rsidR="009B4E79" w:rsidRDefault="009B4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ndale Sans U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CF8A" w14:textId="18873B7D" w:rsidR="00B34084" w:rsidRDefault="00B34084" w:rsidP="007D3D17">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7CE0" w14:textId="77777777" w:rsidR="009B4E79" w:rsidRDefault="009B4E79">
      <w:pPr>
        <w:spacing w:line="240" w:lineRule="auto"/>
      </w:pPr>
      <w:r>
        <w:separator/>
      </w:r>
    </w:p>
  </w:footnote>
  <w:footnote w:type="continuationSeparator" w:id="0">
    <w:p w14:paraId="2611AC22" w14:textId="77777777" w:rsidR="009B4E79" w:rsidRDefault="009B4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BD25" w14:textId="2A88155D" w:rsidR="00B16DB3" w:rsidRDefault="00B16DB3" w:rsidP="00B16DB3">
    <w:pPr>
      <w:pStyle w:val="Zaglavlje"/>
      <w:tabs>
        <w:tab w:val="clear" w:pos="4536"/>
        <w:tab w:val="clear" w:pos="9072"/>
        <w:tab w:val="left" w:pos="5670"/>
      </w:tabs>
      <w:ind w:hanging="567"/>
      <w:rPr>
        <w:rFonts w:eastAsia="Calibri"/>
        <w:color w:val="808080"/>
        <w:sz w:val="20"/>
        <w:szCs w:val="20"/>
      </w:rPr>
    </w:pPr>
    <w:r>
      <w:rPr>
        <w:rFonts w:eastAsia="Calibri"/>
        <w:color w:val="808080"/>
        <w:sz w:val="20"/>
        <w:szCs w:val="20"/>
      </w:rPr>
      <w:tab/>
    </w:r>
  </w:p>
  <w:p w14:paraId="69EAEAC9" w14:textId="77777777" w:rsidR="00B16DB3" w:rsidRDefault="00B16DB3" w:rsidP="00AD5C49">
    <w:pPr>
      <w:pStyle w:val="Zaglavlje"/>
      <w:tabs>
        <w:tab w:val="clear" w:pos="4536"/>
        <w:tab w:val="clear" w:pos="9072"/>
        <w:tab w:val="left" w:pos="8265"/>
      </w:tabs>
      <w:ind w:hanging="567"/>
      <w:rPr>
        <w:rFonts w:eastAsia="Calibri"/>
        <w:color w:val="808080"/>
        <w:sz w:val="20"/>
        <w:szCs w:val="20"/>
      </w:rPr>
    </w:pPr>
  </w:p>
  <w:p w14:paraId="2BD934AC" w14:textId="77777777" w:rsidR="00B16DB3" w:rsidRDefault="00B16DB3" w:rsidP="00AD5C49">
    <w:pPr>
      <w:pStyle w:val="Zaglavlje"/>
      <w:tabs>
        <w:tab w:val="clear" w:pos="4536"/>
        <w:tab w:val="clear" w:pos="9072"/>
        <w:tab w:val="left" w:pos="8265"/>
      </w:tabs>
      <w:ind w:hanging="567"/>
      <w:rPr>
        <w:rFonts w:eastAsia="Calibri"/>
        <w:color w:val="808080"/>
        <w:sz w:val="20"/>
        <w:szCs w:val="20"/>
      </w:rPr>
    </w:pPr>
  </w:p>
  <w:p w14:paraId="158BEE7F" w14:textId="77777777" w:rsidR="00B16DB3" w:rsidRDefault="00B16DB3" w:rsidP="00AD5C49">
    <w:pPr>
      <w:pStyle w:val="Zaglavlje"/>
      <w:tabs>
        <w:tab w:val="clear" w:pos="4536"/>
        <w:tab w:val="clear" w:pos="9072"/>
        <w:tab w:val="left" w:pos="8265"/>
      </w:tabs>
      <w:ind w:hanging="567"/>
      <w:rPr>
        <w:rFonts w:eastAsia="Calibri"/>
        <w:color w:val="808080"/>
        <w:sz w:val="20"/>
        <w:szCs w:val="20"/>
      </w:rPr>
    </w:pPr>
    <w:r>
      <w:rPr>
        <w:rFonts w:eastAsia="Calibri"/>
        <w:color w:val="808080"/>
        <w:sz w:val="20"/>
        <w:szCs w:val="20"/>
      </w:rPr>
      <w:t xml:space="preserve">   </w:t>
    </w:r>
  </w:p>
  <w:p w14:paraId="635EAB93" w14:textId="77777777" w:rsidR="00915578" w:rsidRDefault="00915578" w:rsidP="00915578">
    <w:pPr>
      <w:pStyle w:val="Zaglavlje"/>
      <w:tabs>
        <w:tab w:val="clear" w:pos="4536"/>
        <w:tab w:val="clear" w:pos="9072"/>
        <w:tab w:val="left" w:pos="8265"/>
      </w:tabs>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E41DE0"/>
    <w:multiLevelType w:val="hybridMultilevel"/>
    <w:tmpl w:val="6CDA7BF0"/>
    <w:lvl w:ilvl="0" w:tplc="D1AA145C">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13D33E1F"/>
    <w:multiLevelType w:val="hybridMultilevel"/>
    <w:tmpl w:val="40324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B666B6"/>
    <w:multiLevelType w:val="hybridMultilevel"/>
    <w:tmpl w:val="B748C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6F2F9D"/>
    <w:multiLevelType w:val="hybridMultilevel"/>
    <w:tmpl w:val="941091A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6F2D5A"/>
    <w:multiLevelType w:val="hybridMultilevel"/>
    <w:tmpl w:val="7074B504"/>
    <w:lvl w:ilvl="0" w:tplc="CDA81D6E">
      <w:numFmt w:val="bullet"/>
      <w:lvlText w:val="-"/>
      <w:lvlJc w:val="left"/>
      <w:pPr>
        <w:ind w:left="1665" w:hanging="360"/>
      </w:pPr>
      <w:rPr>
        <w:rFonts w:ascii="Calibri" w:eastAsia="Times New Roman" w:hAnsi="Calibri" w:cs="Calibri"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6" w15:restartNumberingAfterBreak="0">
    <w:nsid w:val="23FE0303"/>
    <w:multiLevelType w:val="hybridMultilevel"/>
    <w:tmpl w:val="117ACA7C"/>
    <w:lvl w:ilvl="0" w:tplc="B782A7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4685E4F"/>
    <w:multiLevelType w:val="hybridMultilevel"/>
    <w:tmpl w:val="82B87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D7604C"/>
    <w:multiLevelType w:val="hybridMultilevel"/>
    <w:tmpl w:val="E6BC5392"/>
    <w:lvl w:ilvl="0" w:tplc="356CCED2">
      <w:start w:val="1"/>
      <w:numFmt w:val="decimal"/>
      <w:lvlText w:val="%1."/>
      <w:lvlJc w:val="left"/>
      <w:pPr>
        <w:ind w:left="1069" w:hanging="360"/>
      </w:pPr>
      <w:rPr>
        <w:rFonts w:hint="default"/>
        <w:b w:val="0"/>
        <w:sz w:val="24"/>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36E80DE4"/>
    <w:multiLevelType w:val="hybridMultilevel"/>
    <w:tmpl w:val="7A2C51FA"/>
    <w:lvl w:ilvl="0" w:tplc="A740C594">
      <w:start w:val="1"/>
      <w:numFmt w:val="decimal"/>
      <w:lvlText w:val="%1."/>
      <w:lvlJc w:val="left"/>
      <w:pPr>
        <w:ind w:left="6030" w:hanging="36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10" w15:restartNumberingAfterBreak="0">
    <w:nsid w:val="377429B1"/>
    <w:multiLevelType w:val="hybridMultilevel"/>
    <w:tmpl w:val="69963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E1457B"/>
    <w:multiLevelType w:val="hybridMultilevel"/>
    <w:tmpl w:val="6E9A8104"/>
    <w:lvl w:ilvl="0" w:tplc="A96062D8">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3BDB0131"/>
    <w:multiLevelType w:val="hybridMultilevel"/>
    <w:tmpl w:val="12300FE2"/>
    <w:lvl w:ilvl="0" w:tplc="0310FEE4">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449C65BA"/>
    <w:multiLevelType w:val="hybridMultilevel"/>
    <w:tmpl w:val="85EC1A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5969C4"/>
    <w:multiLevelType w:val="hybridMultilevel"/>
    <w:tmpl w:val="D2AC9A76"/>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B0018B"/>
    <w:multiLevelType w:val="hybridMultilevel"/>
    <w:tmpl w:val="251C1A7C"/>
    <w:lvl w:ilvl="0" w:tplc="FC2258A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6" w15:restartNumberingAfterBreak="0">
    <w:nsid w:val="61F715C5"/>
    <w:multiLevelType w:val="multilevel"/>
    <w:tmpl w:val="C2A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B90BDA"/>
    <w:multiLevelType w:val="hybridMultilevel"/>
    <w:tmpl w:val="B748C7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D242FF"/>
    <w:multiLevelType w:val="hybridMultilevel"/>
    <w:tmpl w:val="D030584C"/>
    <w:lvl w:ilvl="0" w:tplc="041A0019">
      <w:start w:val="1"/>
      <w:numFmt w:val="lowerLetter"/>
      <w:lvlText w:val="%1."/>
      <w:lvlJc w:val="left"/>
      <w:pPr>
        <w:ind w:left="1777" w:hanging="360"/>
      </w:pPr>
    </w:lvl>
    <w:lvl w:ilvl="1" w:tplc="041A0019" w:tentative="1">
      <w:start w:val="1"/>
      <w:numFmt w:val="lowerLetter"/>
      <w:lvlText w:val="%2."/>
      <w:lvlJc w:val="left"/>
      <w:pPr>
        <w:ind w:left="2497" w:hanging="360"/>
      </w:pPr>
    </w:lvl>
    <w:lvl w:ilvl="2" w:tplc="041A001B" w:tentative="1">
      <w:start w:val="1"/>
      <w:numFmt w:val="lowerRoman"/>
      <w:lvlText w:val="%3."/>
      <w:lvlJc w:val="right"/>
      <w:pPr>
        <w:ind w:left="3217" w:hanging="180"/>
      </w:pPr>
    </w:lvl>
    <w:lvl w:ilvl="3" w:tplc="041A000F" w:tentative="1">
      <w:start w:val="1"/>
      <w:numFmt w:val="decimal"/>
      <w:lvlText w:val="%4."/>
      <w:lvlJc w:val="left"/>
      <w:pPr>
        <w:ind w:left="3937" w:hanging="360"/>
      </w:pPr>
    </w:lvl>
    <w:lvl w:ilvl="4" w:tplc="041A0019" w:tentative="1">
      <w:start w:val="1"/>
      <w:numFmt w:val="lowerLetter"/>
      <w:lvlText w:val="%5."/>
      <w:lvlJc w:val="left"/>
      <w:pPr>
        <w:ind w:left="4657" w:hanging="360"/>
      </w:pPr>
    </w:lvl>
    <w:lvl w:ilvl="5" w:tplc="041A001B" w:tentative="1">
      <w:start w:val="1"/>
      <w:numFmt w:val="lowerRoman"/>
      <w:lvlText w:val="%6."/>
      <w:lvlJc w:val="right"/>
      <w:pPr>
        <w:ind w:left="5377" w:hanging="180"/>
      </w:pPr>
    </w:lvl>
    <w:lvl w:ilvl="6" w:tplc="041A000F" w:tentative="1">
      <w:start w:val="1"/>
      <w:numFmt w:val="decimal"/>
      <w:lvlText w:val="%7."/>
      <w:lvlJc w:val="left"/>
      <w:pPr>
        <w:ind w:left="6097" w:hanging="360"/>
      </w:pPr>
    </w:lvl>
    <w:lvl w:ilvl="7" w:tplc="041A0019" w:tentative="1">
      <w:start w:val="1"/>
      <w:numFmt w:val="lowerLetter"/>
      <w:lvlText w:val="%8."/>
      <w:lvlJc w:val="left"/>
      <w:pPr>
        <w:ind w:left="6817" w:hanging="360"/>
      </w:pPr>
    </w:lvl>
    <w:lvl w:ilvl="8" w:tplc="041A001B" w:tentative="1">
      <w:start w:val="1"/>
      <w:numFmt w:val="lowerRoman"/>
      <w:lvlText w:val="%9."/>
      <w:lvlJc w:val="right"/>
      <w:pPr>
        <w:ind w:left="7537" w:hanging="180"/>
      </w:pPr>
    </w:lvl>
  </w:abstractNum>
  <w:abstractNum w:abstractNumId="19" w15:restartNumberingAfterBreak="0">
    <w:nsid w:val="769C232D"/>
    <w:multiLevelType w:val="hybridMultilevel"/>
    <w:tmpl w:val="CC72C20E"/>
    <w:lvl w:ilvl="0" w:tplc="11AEA04C">
      <w:start w:val="1"/>
      <w:numFmt w:val="decimal"/>
      <w:lvlText w:val="%1."/>
      <w:lvlJc w:val="left"/>
      <w:pPr>
        <w:ind w:left="1069" w:hanging="360"/>
      </w:pPr>
      <w:rPr>
        <w:rFonts w:hint="default"/>
        <w:b/>
        <w:bCs/>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0" w15:restartNumberingAfterBreak="0">
    <w:nsid w:val="7F37365F"/>
    <w:multiLevelType w:val="hybridMultilevel"/>
    <w:tmpl w:val="C47C7386"/>
    <w:lvl w:ilvl="0" w:tplc="4A18EFEC">
      <w:start w:val="1"/>
      <w:numFmt w:val="decimal"/>
      <w:lvlText w:val="%1."/>
      <w:lvlJc w:val="left"/>
      <w:pPr>
        <w:ind w:left="1069" w:hanging="360"/>
      </w:pPr>
      <w:rPr>
        <w:rFonts w:ascii="Calibri" w:hAnsi="Calibri" w:cs="Calibri"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1713726144">
    <w:abstractNumId w:val="0"/>
  </w:num>
  <w:num w:numId="2" w16cid:durableId="1081946325">
    <w:abstractNumId w:val="9"/>
  </w:num>
  <w:num w:numId="3" w16cid:durableId="1600483883">
    <w:abstractNumId w:val="20"/>
  </w:num>
  <w:num w:numId="4" w16cid:durableId="1489861878">
    <w:abstractNumId w:val="5"/>
  </w:num>
  <w:num w:numId="5" w16cid:durableId="457072797">
    <w:abstractNumId w:val="6"/>
  </w:num>
  <w:num w:numId="6" w16cid:durableId="1753578207">
    <w:abstractNumId w:val="2"/>
  </w:num>
  <w:num w:numId="7" w16cid:durableId="1135098922">
    <w:abstractNumId w:val="10"/>
  </w:num>
  <w:num w:numId="8" w16cid:durableId="1766269398">
    <w:abstractNumId w:val="12"/>
  </w:num>
  <w:num w:numId="9" w16cid:durableId="1320572500">
    <w:abstractNumId w:val="17"/>
  </w:num>
  <w:num w:numId="10" w16cid:durableId="664434780">
    <w:abstractNumId w:val="3"/>
  </w:num>
  <w:num w:numId="11" w16cid:durableId="1202480472">
    <w:abstractNumId w:val="14"/>
  </w:num>
  <w:num w:numId="12" w16cid:durableId="119811189">
    <w:abstractNumId w:val="13"/>
  </w:num>
  <w:num w:numId="13" w16cid:durableId="789662157">
    <w:abstractNumId w:val="19"/>
  </w:num>
  <w:num w:numId="14" w16cid:durableId="890921138">
    <w:abstractNumId w:val="11"/>
  </w:num>
  <w:num w:numId="15" w16cid:durableId="667445123">
    <w:abstractNumId w:val="1"/>
  </w:num>
  <w:num w:numId="16" w16cid:durableId="1493179127">
    <w:abstractNumId w:val="16"/>
  </w:num>
  <w:num w:numId="17" w16cid:durableId="1529414645">
    <w:abstractNumId w:val="18"/>
  </w:num>
  <w:num w:numId="18" w16cid:durableId="855074032">
    <w:abstractNumId w:val="8"/>
  </w:num>
  <w:num w:numId="19" w16cid:durableId="1234243390">
    <w:abstractNumId w:val="15"/>
  </w:num>
  <w:num w:numId="20" w16cid:durableId="964502187">
    <w:abstractNumId w:val="7"/>
  </w:num>
  <w:num w:numId="21" w16cid:durableId="1281915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2F"/>
    <w:rsid w:val="000009D1"/>
    <w:rsid w:val="00002FB2"/>
    <w:rsid w:val="000049D1"/>
    <w:rsid w:val="00015C75"/>
    <w:rsid w:val="00020CB3"/>
    <w:rsid w:val="00023A72"/>
    <w:rsid w:val="00032328"/>
    <w:rsid w:val="000408D5"/>
    <w:rsid w:val="000411D0"/>
    <w:rsid w:val="00043076"/>
    <w:rsid w:val="00046026"/>
    <w:rsid w:val="00056009"/>
    <w:rsid w:val="00061187"/>
    <w:rsid w:val="000651D7"/>
    <w:rsid w:val="00071FB5"/>
    <w:rsid w:val="0007736A"/>
    <w:rsid w:val="0008126B"/>
    <w:rsid w:val="00081307"/>
    <w:rsid w:val="00082494"/>
    <w:rsid w:val="00085182"/>
    <w:rsid w:val="00090888"/>
    <w:rsid w:val="0009283C"/>
    <w:rsid w:val="00092DC7"/>
    <w:rsid w:val="0009566B"/>
    <w:rsid w:val="000968B2"/>
    <w:rsid w:val="000A1793"/>
    <w:rsid w:val="000A4321"/>
    <w:rsid w:val="000A69DE"/>
    <w:rsid w:val="000B05D1"/>
    <w:rsid w:val="000B0A33"/>
    <w:rsid w:val="000C5689"/>
    <w:rsid w:val="000D3B81"/>
    <w:rsid w:val="000E3424"/>
    <w:rsid w:val="000E5227"/>
    <w:rsid w:val="000F0EB4"/>
    <w:rsid w:val="000F6E64"/>
    <w:rsid w:val="00100F05"/>
    <w:rsid w:val="001058E6"/>
    <w:rsid w:val="00121080"/>
    <w:rsid w:val="00130D15"/>
    <w:rsid w:val="001312CD"/>
    <w:rsid w:val="00132CB9"/>
    <w:rsid w:val="00140D10"/>
    <w:rsid w:val="001439F8"/>
    <w:rsid w:val="00144171"/>
    <w:rsid w:val="001536E7"/>
    <w:rsid w:val="00154B29"/>
    <w:rsid w:val="00157F15"/>
    <w:rsid w:val="00162F4C"/>
    <w:rsid w:val="001636E1"/>
    <w:rsid w:val="00175974"/>
    <w:rsid w:val="00184202"/>
    <w:rsid w:val="001842BE"/>
    <w:rsid w:val="00184EDD"/>
    <w:rsid w:val="00187F15"/>
    <w:rsid w:val="00190724"/>
    <w:rsid w:val="001915A5"/>
    <w:rsid w:val="00191B83"/>
    <w:rsid w:val="00192D20"/>
    <w:rsid w:val="00195E0F"/>
    <w:rsid w:val="00197631"/>
    <w:rsid w:val="00197806"/>
    <w:rsid w:val="001A2594"/>
    <w:rsid w:val="001A26AD"/>
    <w:rsid w:val="001A61AC"/>
    <w:rsid w:val="001B67A2"/>
    <w:rsid w:val="001C1132"/>
    <w:rsid w:val="001C2469"/>
    <w:rsid w:val="001C56F9"/>
    <w:rsid w:val="001C59F7"/>
    <w:rsid w:val="001D21FB"/>
    <w:rsid w:val="001D2BA5"/>
    <w:rsid w:val="001D73BE"/>
    <w:rsid w:val="001E50F7"/>
    <w:rsid w:val="001E5304"/>
    <w:rsid w:val="001F1235"/>
    <w:rsid w:val="001F22A6"/>
    <w:rsid w:val="00201669"/>
    <w:rsid w:val="00201F85"/>
    <w:rsid w:val="002056D2"/>
    <w:rsid w:val="00211E51"/>
    <w:rsid w:val="002218ED"/>
    <w:rsid w:val="00230B48"/>
    <w:rsid w:val="002352D3"/>
    <w:rsid w:val="00237B11"/>
    <w:rsid w:val="00247E3F"/>
    <w:rsid w:val="00251836"/>
    <w:rsid w:val="00251DCA"/>
    <w:rsid w:val="002520C7"/>
    <w:rsid w:val="0026101C"/>
    <w:rsid w:val="00266F60"/>
    <w:rsid w:val="0027546C"/>
    <w:rsid w:val="002772DE"/>
    <w:rsid w:val="00283297"/>
    <w:rsid w:val="002839C6"/>
    <w:rsid w:val="002847FB"/>
    <w:rsid w:val="00286B5A"/>
    <w:rsid w:val="002901BA"/>
    <w:rsid w:val="00295E9D"/>
    <w:rsid w:val="002A0A92"/>
    <w:rsid w:val="002A0D60"/>
    <w:rsid w:val="002A2191"/>
    <w:rsid w:val="002A2305"/>
    <w:rsid w:val="002A7452"/>
    <w:rsid w:val="002B4FCF"/>
    <w:rsid w:val="002B5B9F"/>
    <w:rsid w:val="002C05E5"/>
    <w:rsid w:val="002C69F3"/>
    <w:rsid w:val="002E3388"/>
    <w:rsid w:val="002E666C"/>
    <w:rsid w:val="002E6D08"/>
    <w:rsid w:val="002E7125"/>
    <w:rsid w:val="002F52B3"/>
    <w:rsid w:val="0030302D"/>
    <w:rsid w:val="003060BB"/>
    <w:rsid w:val="00315BBC"/>
    <w:rsid w:val="00321792"/>
    <w:rsid w:val="0032303C"/>
    <w:rsid w:val="00333840"/>
    <w:rsid w:val="0033585F"/>
    <w:rsid w:val="00343B25"/>
    <w:rsid w:val="00344863"/>
    <w:rsid w:val="00353042"/>
    <w:rsid w:val="003755C7"/>
    <w:rsid w:val="0037623D"/>
    <w:rsid w:val="003819FD"/>
    <w:rsid w:val="00386D32"/>
    <w:rsid w:val="00387640"/>
    <w:rsid w:val="00387EDD"/>
    <w:rsid w:val="0039711C"/>
    <w:rsid w:val="003A58D4"/>
    <w:rsid w:val="003A5987"/>
    <w:rsid w:val="003B50D8"/>
    <w:rsid w:val="003B6193"/>
    <w:rsid w:val="003C04F1"/>
    <w:rsid w:val="003C386B"/>
    <w:rsid w:val="003C784F"/>
    <w:rsid w:val="003D0C4F"/>
    <w:rsid w:val="003D153B"/>
    <w:rsid w:val="003D25AA"/>
    <w:rsid w:val="003D425F"/>
    <w:rsid w:val="003D44C9"/>
    <w:rsid w:val="003E0335"/>
    <w:rsid w:val="003E49C2"/>
    <w:rsid w:val="00401E0F"/>
    <w:rsid w:val="00403F9A"/>
    <w:rsid w:val="00404866"/>
    <w:rsid w:val="00411688"/>
    <w:rsid w:val="004135C1"/>
    <w:rsid w:val="0041465F"/>
    <w:rsid w:val="00421D4B"/>
    <w:rsid w:val="0042298E"/>
    <w:rsid w:val="00422B50"/>
    <w:rsid w:val="004240C2"/>
    <w:rsid w:val="00435A3E"/>
    <w:rsid w:val="00441215"/>
    <w:rsid w:val="004426A2"/>
    <w:rsid w:val="0044706B"/>
    <w:rsid w:val="0045161F"/>
    <w:rsid w:val="00452CA9"/>
    <w:rsid w:val="00455028"/>
    <w:rsid w:val="004730A2"/>
    <w:rsid w:val="00477DB8"/>
    <w:rsid w:val="004821DE"/>
    <w:rsid w:val="0048765B"/>
    <w:rsid w:val="00492055"/>
    <w:rsid w:val="004A43AC"/>
    <w:rsid w:val="004A5BDE"/>
    <w:rsid w:val="004A65F5"/>
    <w:rsid w:val="004A6C4C"/>
    <w:rsid w:val="004B00CB"/>
    <w:rsid w:val="004C3BB6"/>
    <w:rsid w:val="004C4050"/>
    <w:rsid w:val="004E0F4B"/>
    <w:rsid w:val="004E44E1"/>
    <w:rsid w:val="004E4BE8"/>
    <w:rsid w:val="004F34A0"/>
    <w:rsid w:val="0050337D"/>
    <w:rsid w:val="0050387D"/>
    <w:rsid w:val="005071D4"/>
    <w:rsid w:val="005109E5"/>
    <w:rsid w:val="00513311"/>
    <w:rsid w:val="00516A83"/>
    <w:rsid w:val="00523A72"/>
    <w:rsid w:val="005261EA"/>
    <w:rsid w:val="00532977"/>
    <w:rsid w:val="005329E6"/>
    <w:rsid w:val="0053550B"/>
    <w:rsid w:val="00544254"/>
    <w:rsid w:val="005459C5"/>
    <w:rsid w:val="00550817"/>
    <w:rsid w:val="00560AF2"/>
    <w:rsid w:val="00563456"/>
    <w:rsid w:val="0057465A"/>
    <w:rsid w:val="00576BE7"/>
    <w:rsid w:val="0058385D"/>
    <w:rsid w:val="00583F95"/>
    <w:rsid w:val="00585A5D"/>
    <w:rsid w:val="00587C1A"/>
    <w:rsid w:val="00597E62"/>
    <w:rsid w:val="005B50DA"/>
    <w:rsid w:val="005B68A8"/>
    <w:rsid w:val="005C3657"/>
    <w:rsid w:val="005C4588"/>
    <w:rsid w:val="005C6394"/>
    <w:rsid w:val="005C6EEC"/>
    <w:rsid w:val="005D24EE"/>
    <w:rsid w:val="005D303B"/>
    <w:rsid w:val="005D5024"/>
    <w:rsid w:val="005E0C5D"/>
    <w:rsid w:val="005E3AC9"/>
    <w:rsid w:val="005E4108"/>
    <w:rsid w:val="005E4D67"/>
    <w:rsid w:val="005E60AA"/>
    <w:rsid w:val="005E6F90"/>
    <w:rsid w:val="005F5D39"/>
    <w:rsid w:val="005F6A3A"/>
    <w:rsid w:val="0060396E"/>
    <w:rsid w:val="006104ED"/>
    <w:rsid w:val="00640D6F"/>
    <w:rsid w:val="00640F15"/>
    <w:rsid w:val="006479DB"/>
    <w:rsid w:val="006518E1"/>
    <w:rsid w:val="00666F37"/>
    <w:rsid w:val="006704C5"/>
    <w:rsid w:val="00680FAD"/>
    <w:rsid w:val="00681760"/>
    <w:rsid w:val="006900F1"/>
    <w:rsid w:val="00692D6C"/>
    <w:rsid w:val="006957CC"/>
    <w:rsid w:val="006A0D45"/>
    <w:rsid w:val="006A181F"/>
    <w:rsid w:val="006A6D8D"/>
    <w:rsid w:val="006B2672"/>
    <w:rsid w:val="006C5965"/>
    <w:rsid w:val="006C5B53"/>
    <w:rsid w:val="006C6EE6"/>
    <w:rsid w:val="006D210D"/>
    <w:rsid w:val="006D443C"/>
    <w:rsid w:val="006E7CD4"/>
    <w:rsid w:val="006F5FAF"/>
    <w:rsid w:val="0070094C"/>
    <w:rsid w:val="007019B6"/>
    <w:rsid w:val="00703B44"/>
    <w:rsid w:val="00712EEE"/>
    <w:rsid w:val="00716A48"/>
    <w:rsid w:val="0071774A"/>
    <w:rsid w:val="00717FF5"/>
    <w:rsid w:val="0072297A"/>
    <w:rsid w:val="007324F1"/>
    <w:rsid w:val="0073581E"/>
    <w:rsid w:val="0075300C"/>
    <w:rsid w:val="00770869"/>
    <w:rsid w:val="0077331B"/>
    <w:rsid w:val="00785AC5"/>
    <w:rsid w:val="007A57DB"/>
    <w:rsid w:val="007B07E7"/>
    <w:rsid w:val="007C0FAF"/>
    <w:rsid w:val="007C40A9"/>
    <w:rsid w:val="007C7823"/>
    <w:rsid w:val="007D22FD"/>
    <w:rsid w:val="007D26A3"/>
    <w:rsid w:val="007D3D17"/>
    <w:rsid w:val="007D472C"/>
    <w:rsid w:val="007F510C"/>
    <w:rsid w:val="00806BEA"/>
    <w:rsid w:val="0081390C"/>
    <w:rsid w:val="00814910"/>
    <w:rsid w:val="008204D3"/>
    <w:rsid w:val="008303E7"/>
    <w:rsid w:val="00831FD5"/>
    <w:rsid w:val="00834D5C"/>
    <w:rsid w:val="00854B6E"/>
    <w:rsid w:val="008551A7"/>
    <w:rsid w:val="008705D1"/>
    <w:rsid w:val="00872347"/>
    <w:rsid w:val="008824F2"/>
    <w:rsid w:val="00885698"/>
    <w:rsid w:val="008A5639"/>
    <w:rsid w:val="008B24AC"/>
    <w:rsid w:val="008B416F"/>
    <w:rsid w:val="008B504F"/>
    <w:rsid w:val="008B6D51"/>
    <w:rsid w:val="008B7E95"/>
    <w:rsid w:val="008C5ADC"/>
    <w:rsid w:val="008D036B"/>
    <w:rsid w:val="008D45CE"/>
    <w:rsid w:val="008D792F"/>
    <w:rsid w:val="008F4DFC"/>
    <w:rsid w:val="008F541C"/>
    <w:rsid w:val="00911CCC"/>
    <w:rsid w:val="00912D27"/>
    <w:rsid w:val="00915578"/>
    <w:rsid w:val="009226A1"/>
    <w:rsid w:val="00923297"/>
    <w:rsid w:val="009250AF"/>
    <w:rsid w:val="0093153D"/>
    <w:rsid w:val="00940AC2"/>
    <w:rsid w:val="00944DC7"/>
    <w:rsid w:val="0094587A"/>
    <w:rsid w:val="009557B8"/>
    <w:rsid w:val="00982FCD"/>
    <w:rsid w:val="0098576B"/>
    <w:rsid w:val="00991301"/>
    <w:rsid w:val="00991FED"/>
    <w:rsid w:val="009945A0"/>
    <w:rsid w:val="009945D6"/>
    <w:rsid w:val="00996159"/>
    <w:rsid w:val="009A3187"/>
    <w:rsid w:val="009A658E"/>
    <w:rsid w:val="009B4E79"/>
    <w:rsid w:val="009C6E60"/>
    <w:rsid w:val="009C6FEF"/>
    <w:rsid w:val="009D321F"/>
    <w:rsid w:val="009D3D72"/>
    <w:rsid w:val="009D4FA8"/>
    <w:rsid w:val="009E0EA8"/>
    <w:rsid w:val="009E573C"/>
    <w:rsid w:val="009F28D8"/>
    <w:rsid w:val="00A05757"/>
    <w:rsid w:val="00A06731"/>
    <w:rsid w:val="00A06903"/>
    <w:rsid w:val="00A07F79"/>
    <w:rsid w:val="00A15731"/>
    <w:rsid w:val="00A34AE8"/>
    <w:rsid w:val="00A43068"/>
    <w:rsid w:val="00A64975"/>
    <w:rsid w:val="00A81754"/>
    <w:rsid w:val="00A85982"/>
    <w:rsid w:val="00A877A2"/>
    <w:rsid w:val="00A90EA0"/>
    <w:rsid w:val="00AA12B9"/>
    <w:rsid w:val="00AB2928"/>
    <w:rsid w:val="00AB5ED7"/>
    <w:rsid w:val="00AC19E7"/>
    <w:rsid w:val="00AC21B6"/>
    <w:rsid w:val="00AD5C49"/>
    <w:rsid w:val="00AE2EB4"/>
    <w:rsid w:val="00AF28B1"/>
    <w:rsid w:val="00AF4F40"/>
    <w:rsid w:val="00AF7F1D"/>
    <w:rsid w:val="00B009EF"/>
    <w:rsid w:val="00B025C3"/>
    <w:rsid w:val="00B037F2"/>
    <w:rsid w:val="00B048AA"/>
    <w:rsid w:val="00B1140F"/>
    <w:rsid w:val="00B16DB3"/>
    <w:rsid w:val="00B2350E"/>
    <w:rsid w:val="00B26A8C"/>
    <w:rsid w:val="00B27ABB"/>
    <w:rsid w:val="00B338B1"/>
    <w:rsid w:val="00B34084"/>
    <w:rsid w:val="00B50711"/>
    <w:rsid w:val="00B65E7D"/>
    <w:rsid w:val="00B66385"/>
    <w:rsid w:val="00B74767"/>
    <w:rsid w:val="00B77858"/>
    <w:rsid w:val="00B81C69"/>
    <w:rsid w:val="00B875E4"/>
    <w:rsid w:val="00B91326"/>
    <w:rsid w:val="00BA03BE"/>
    <w:rsid w:val="00BA34B7"/>
    <w:rsid w:val="00BA6D99"/>
    <w:rsid w:val="00BA70A3"/>
    <w:rsid w:val="00BC7DAA"/>
    <w:rsid w:val="00BD7CD2"/>
    <w:rsid w:val="00BE5659"/>
    <w:rsid w:val="00BE7D58"/>
    <w:rsid w:val="00BF6E12"/>
    <w:rsid w:val="00C01CAB"/>
    <w:rsid w:val="00C15009"/>
    <w:rsid w:val="00C20D3E"/>
    <w:rsid w:val="00C31634"/>
    <w:rsid w:val="00C37260"/>
    <w:rsid w:val="00C37B06"/>
    <w:rsid w:val="00C4048B"/>
    <w:rsid w:val="00C4081D"/>
    <w:rsid w:val="00C463C9"/>
    <w:rsid w:val="00C5041C"/>
    <w:rsid w:val="00C54977"/>
    <w:rsid w:val="00C62075"/>
    <w:rsid w:val="00C662D8"/>
    <w:rsid w:val="00C7740E"/>
    <w:rsid w:val="00C84448"/>
    <w:rsid w:val="00C8788D"/>
    <w:rsid w:val="00C95653"/>
    <w:rsid w:val="00CA0A46"/>
    <w:rsid w:val="00CA2857"/>
    <w:rsid w:val="00CA52C2"/>
    <w:rsid w:val="00CB15A4"/>
    <w:rsid w:val="00CB1D38"/>
    <w:rsid w:val="00CC14C1"/>
    <w:rsid w:val="00CD0210"/>
    <w:rsid w:val="00CD05F4"/>
    <w:rsid w:val="00CE06EC"/>
    <w:rsid w:val="00CE3749"/>
    <w:rsid w:val="00CF18F2"/>
    <w:rsid w:val="00CF2D40"/>
    <w:rsid w:val="00CF5913"/>
    <w:rsid w:val="00D01B97"/>
    <w:rsid w:val="00D06F6D"/>
    <w:rsid w:val="00D1142A"/>
    <w:rsid w:val="00D13CE4"/>
    <w:rsid w:val="00D13FE2"/>
    <w:rsid w:val="00D15796"/>
    <w:rsid w:val="00D15FE8"/>
    <w:rsid w:val="00D259F1"/>
    <w:rsid w:val="00D278D6"/>
    <w:rsid w:val="00D3182C"/>
    <w:rsid w:val="00D352EE"/>
    <w:rsid w:val="00D355A7"/>
    <w:rsid w:val="00D42F00"/>
    <w:rsid w:val="00D43FF6"/>
    <w:rsid w:val="00D57E1E"/>
    <w:rsid w:val="00D65362"/>
    <w:rsid w:val="00D659B7"/>
    <w:rsid w:val="00D65FF3"/>
    <w:rsid w:val="00D720DD"/>
    <w:rsid w:val="00D73B62"/>
    <w:rsid w:val="00D77E06"/>
    <w:rsid w:val="00D80710"/>
    <w:rsid w:val="00D87BA0"/>
    <w:rsid w:val="00D92A24"/>
    <w:rsid w:val="00D92B78"/>
    <w:rsid w:val="00D93DCB"/>
    <w:rsid w:val="00DA0433"/>
    <w:rsid w:val="00DA669F"/>
    <w:rsid w:val="00DB0DEC"/>
    <w:rsid w:val="00DB27BC"/>
    <w:rsid w:val="00DB6BA3"/>
    <w:rsid w:val="00DC654D"/>
    <w:rsid w:val="00DD42F6"/>
    <w:rsid w:val="00DE09BC"/>
    <w:rsid w:val="00DE61D5"/>
    <w:rsid w:val="00DF66B6"/>
    <w:rsid w:val="00DF7BF4"/>
    <w:rsid w:val="00E07924"/>
    <w:rsid w:val="00E21547"/>
    <w:rsid w:val="00E26E8C"/>
    <w:rsid w:val="00E273C0"/>
    <w:rsid w:val="00E45AF4"/>
    <w:rsid w:val="00E45EF1"/>
    <w:rsid w:val="00E61197"/>
    <w:rsid w:val="00E70D44"/>
    <w:rsid w:val="00E72C56"/>
    <w:rsid w:val="00E73E45"/>
    <w:rsid w:val="00E947FA"/>
    <w:rsid w:val="00EA1D90"/>
    <w:rsid w:val="00EA7526"/>
    <w:rsid w:val="00EB47C5"/>
    <w:rsid w:val="00EC1A80"/>
    <w:rsid w:val="00EC6621"/>
    <w:rsid w:val="00ED1676"/>
    <w:rsid w:val="00ED3FBC"/>
    <w:rsid w:val="00ED6B00"/>
    <w:rsid w:val="00EE1576"/>
    <w:rsid w:val="00EF1956"/>
    <w:rsid w:val="00EF5D85"/>
    <w:rsid w:val="00F00A27"/>
    <w:rsid w:val="00F03BBB"/>
    <w:rsid w:val="00F06C96"/>
    <w:rsid w:val="00F074B0"/>
    <w:rsid w:val="00F07F7F"/>
    <w:rsid w:val="00F10FCC"/>
    <w:rsid w:val="00F1245C"/>
    <w:rsid w:val="00F1552D"/>
    <w:rsid w:val="00F16449"/>
    <w:rsid w:val="00F16AF6"/>
    <w:rsid w:val="00F22FBD"/>
    <w:rsid w:val="00F23E2D"/>
    <w:rsid w:val="00F331E1"/>
    <w:rsid w:val="00F4352F"/>
    <w:rsid w:val="00F50BFC"/>
    <w:rsid w:val="00F53524"/>
    <w:rsid w:val="00F53544"/>
    <w:rsid w:val="00F634B3"/>
    <w:rsid w:val="00F65560"/>
    <w:rsid w:val="00F66844"/>
    <w:rsid w:val="00F92A9C"/>
    <w:rsid w:val="00F94A78"/>
    <w:rsid w:val="00F973DA"/>
    <w:rsid w:val="00FB3172"/>
    <w:rsid w:val="00FB7E97"/>
    <w:rsid w:val="00FC353F"/>
    <w:rsid w:val="00FD06D4"/>
    <w:rsid w:val="00FD77CC"/>
    <w:rsid w:val="00FE3DA8"/>
    <w:rsid w:val="00FE5C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42C920"/>
  <w15:chartTrackingRefBased/>
  <w15:docId w15:val="{60C43BA3-CCF3-40CA-A73C-B299B75A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A9"/>
    <w:pPr>
      <w:suppressAutoHyphens/>
      <w:overflowPunct w:val="0"/>
      <w:spacing w:line="100" w:lineRule="atLeast"/>
    </w:pPr>
    <w:rPr>
      <w:color w:val="00000A"/>
      <w:kern w:val="1"/>
      <w:sz w:val="24"/>
      <w:szCs w:val="24"/>
      <w:lang w:eastAsia="zh-CN"/>
    </w:rPr>
  </w:style>
  <w:style w:type="paragraph" w:styleId="Naslov1">
    <w:name w:val="heading 1"/>
    <w:basedOn w:val="Normal"/>
    <w:next w:val="Tijeloteksta"/>
    <w:qFormat/>
    <w:pPr>
      <w:keepNext/>
      <w:numPr>
        <w:numId w:val="1"/>
      </w:numPr>
      <w:ind w:left="0" w:firstLine="0"/>
      <w:outlineLvl w:val="0"/>
    </w:pPr>
    <w:rPr>
      <w:b/>
      <w:sz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ZaglavljeChar">
    <w:name w:val="Zaglavlje Char"/>
    <w:basedOn w:val="DefaultParagraphFont1"/>
  </w:style>
  <w:style w:type="character" w:customStyle="1" w:styleId="PodnojeChar">
    <w:name w:val="Podnožje Char"/>
    <w:basedOn w:val="DefaultParagraphFont1"/>
  </w:style>
  <w:style w:type="character" w:customStyle="1" w:styleId="TekstbaloniaChar">
    <w:name w:val="Tekst balončića Char"/>
    <w:rPr>
      <w:rFonts w:ascii="Tahoma" w:hAnsi="Tahoma" w:cs="Tahoma"/>
      <w:sz w:val="16"/>
      <w:szCs w:val="16"/>
    </w:rPr>
  </w:style>
  <w:style w:type="paragraph" w:customStyle="1" w:styleId="Stilnaslova">
    <w:name w:val="Stil naslova"/>
    <w:basedOn w:val="Normal"/>
    <w:next w:val="Tijeloteksta"/>
    <w:pPr>
      <w:keepNext/>
      <w:spacing w:before="240" w:after="120"/>
    </w:pPr>
    <w:rPr>
      <w:rFonts w:ascii="Arial" w:eastAsia="Microsoft YaHei" w:hAnsi="Arial" w:cs="Mangal"/>
      <w:sz w:val="28"/>
      <w:szCs w:val="28"/>
    </w:rPr>
  </w:style>
  <w:style w:type="paragraph" w:styleId="Tijeloteksta">
    <w:name w:val="Body Text"/>
    <w:basedOn w:val="Normal"/>
    <w:pPr>
      <w:spacing w:after="120"/>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Opis">
    <w:name w:val="Opis"/>
    <w:basedOn w:val="Normal"/>
    <w:pPr>
      <w:suppressLineNumbers/>
      <w:spacing w:before="120" w:after="120"/>
    </w:pPr>
    <w:rPr>
      <w:rFonts w:cs="Mangal"/>
      <w:i/>
      <w:iCs/>
    </w:rPr>
  </w:style>
  <w:style w:type="paragraph" w:styleId="Zaglavlje">
    <w:name w:val="header"/>
    <w:basedOn w:val="Normal"/>
    <w:pPr>
      <w:tabs>
        <w:tab w:val="center" w:pos="4536"/>
        <w:tab w:val="right" w:pos="9072"/>
      </w:tabs>
      <w:suppressAutoHyphens w:val="0"/>
    </w:pPr>
    <w:rPr>
      <w:rFonts w:ascii="Calibri" w:hAnsi="Calibri" w:cs="Calibri"/>
      <w:sz w:val="22"/>
      <w:szCs w:val="22"/>
      <w:lang w:eastAsia="en-US"/>
    </w:rPr>
  </w:style>
  <w:style w:type="paragraph" w:styleId="Podnoje">
    <w:name w:val="footer"/>
    <w:basedOn w:val="Normal"/>
    <w:pPr>
      <w:tabs>
        <w:tab w:val="center" w:pos="4536"/>
        <w:tab w:val="right" w:pos="9072"/>
      </w:tabs>
      <w:suppressAutoHyphens w:val="0"/>
    </w:pPr>
    <w:rPr>
      <w:rFonts w:ascii="Calibri" w:hAnsi="Calibri" w:cs="Calibri"/>
      <w:sz w:val="22"/>
      <w:szCs w:val="22"/>
      <w:lang w:eastAsia="en-US"/>
    </w:rPr>
  </w:style>
  <w:style w:type="paragraph" w:styleId="Tekstbalonia">
    <w:name w:val="Balloon Text"/>
    <w:basedOn w:val="Normal"/>
    <w:pPr>
      <w:suppressAutoHyphens w:val="0"/>
    </w:pPr>
    <w:rPr>
      <w:rFonts w:ascii="Tahoma" w:hAnsi="Tahoma" w:cs="Calibri"/>
      <w:sz w:val="16"/>
      <w:szCs w:val="16"/>
      <w:lang w:eastAsia="en-US"/>
    </w:rPr>
  </w:style>
  <w:style w:type="paragraph" w:styleId="Uvuenotijeloteksta">
    <w:name w:val="Body Text Indent"/>
    <w:basedOn w:val="Normal"/>
    <w:pPr>
      <w:spacing w:after="120"/>
      <w:ind w:left="283"/>
    </w:pPr>
  </w:style>
  <w:style w:type="paragraph" w:styleId="Tijeloteksta2">
    <w:name w:val="Body Text 2"/>
    <w:basedOn w:val="Normal"/>
    <w:link w:val="Tijeloteksta2Char"/>
    <w:pPr>
      <w:jc w:val="both"/>
    </w:pPr>
    <w:rPr>
      <w:rFonts w:ascii="Bookman Old Style" w:hAnsi="Bookman Old Style" w:cs="Bookman Old Style"/>
    </w:rPr>
  </w:style>
  <w:style w:type="paragraph" w:customStyle="1" w:styleId="Podnoje1">
    <w:name w:val="Podnožje1"/>
    <w:basedOn w:val="Normal"/>
    <w:rsid w:val="007D3D17"/>
    <w:pPr>
      <w:tabs>
        <w:tab w:val="center" w:pos="4536"/>
        <w:tab w:val="right" w:pos="9072"/>
      </w:tabs>
      <w:suppressAutoHyphens w:val="0"/>
      <w:overflowPunct/>
    </w:pPr>
    <w:rPr>
      <w:rFonts w:ascii="Calibri" w:hAnsi="Calibri" w:cs="Calibri"/>
      <w:kern w:val="0"/>
      <w:sz w:val="22"/>
      <w:szCs w:val="22"/>
      <w:lang w:eastAsia="en-US"/>
    </w:rPr>
  </w:style>
  <w:style w:type="character" w:customStyle="1" w:styleId="Tijeloteksta2Char">
    <w:name w:val="Tijelo teksta 2 Char"/>
    <w:link w:val="Tijeloteksta2"/>
    <w:rsid w:val="00DF7BF4"/>
    <w:rPr>
      <w:rFonts w:ascii="Bookman Old Style" w:hAnsi="Bookman Old Style" w:cs="Bookman Old Style"/>
      <w:color w:val="00000A"/>
      <w:kern w:val="1"/>
      <w:sz w:val="24"/>
      <w:szCs w:val="24"/>
      <w:lang w:eastAsia="zh-CN"/>
    </w:rPr>
  </w:style>
  <w:style w:type="paragraph" w:customStyle="1" w:styleId="Standard">
    <w:name w:val="Standard"/>
    <w:rsid w:val="007A57DB"/>
    <w:pPr>
      <w:widowControl w:val="0"/>
      <w:suppressAutoHyphens/>
      <w:autoSpaceDN w:val="0"/>
      <w:textAlignment w:val="baseline"/>
    </w:pPr>
    <w:rPr>
      <w:rFonts w:eastAsia="Andale Sans UI" w:cs="Tahoma"/>
      <w:kern w:val="3"/>
      <w:sz w:val="24"/>
      <w:szCs w:val="24"/>
      <w:lang w:val="en-US" w:eastAsia="en-US" w:bidi="en-US"/>
    </w:rPr>
  </w:style>
  <w:style w:type="character" w:styleId="Neupadljivoisticanje">
    <w:name w:val="Subtle Emphasis"/>
    <w:uiPriority w:val="19"/>
    <w:qFormat/>
    <w:rsid w:val="007A57DB"/>
    <w:rPr>
      <w:i/>
      <w:iCs/>
      <w:color w:val="404040"/>
    </w:rPr>
  </w:style>
  <w:style w:type="character" w:styleId="Hiperveza">
    <w:name w:val="Hyperlink"/>
    <w:uiPriority w:val="99"/>
    <w:unhideWhenUsed/>
    <w:rsid w:val="007D472C"/>
    <w:rPr>
      <w:color w:val="0000FF"/>
      <w:u w:val="single"/>
    </w:rPr>
  </w:style>
  <w:style w:type="character" w:customStyle="1" w:styleId="UnresolvedMention1">
    <w:name w:val="Unresolved Mention1"/>
    <w:uiPriority w:val="99"/>
    <w:semiHidden/>
    <w:unhideWhenUsed/>
    <w:rsid w:val="003819FD"/>
    <w:rPr>
      <w:color w:val="605E5C"/>
      <w:shd w:val="clear" w:color="auto" w:fill="E1DFDD"/>
    </w:rPr>
  </w:style>
  <w:style w:type="paragraph" w:styleId="Odlomakpopisa">
    <w:name w:val="List Paragraph"/>
    <w:basedOn w:val="Normal"/>
    <w:uiPriority w:val="34"/>
    <w:qFormat/>
    <w:rsid w:val="000F0EB4"/>
    <w:pPr>
      <w:ind w:left="720"/>
      <w:contextualSpacing/>
    </w:pPr>
  </w:style>
  <w:style w:type="paragraph" w:customStyle="1" w:styleId="m9194543678858120385msoplaintext">
    <w:name w:val="m_9194543678858120385msoplaintext"/>
    <w:basedOn w:val="Normal"/>
    <w:rsid w:val="00516A83"/>
    <w:pPr>
      <w:suppressAutoHyphens w:val="0"/>
      <w:overflowPunct/>
      <w:spacing w:before="100" w:beforeAutospacing="1" w:after="100" w:afterAutospacing="1" w:line="240" w:lineRule="auto"/>
    </w:pPr>
    <w:rPr>
      <w:rFonts w:ascii="Calibri" w:eastAsiaTheme="minorHAnsi" w:hAnsi="Calibri" w:cs="Calibri"/>
      <w:color w:val="auto"/>
      <w:kern w:val="0"/>
      <w:sz w:val="22"/>
      <w:szCs w:val="22"/>
      <w:lang w:eastAsia="hr-HR"/>
    </w:rPr>
  </w:style>
  <w:style w:type="paragraph" w:customStyle="1" w:styleId="m9194543678858120385m-5549595080519233872m-6882426392232333297msoplaintext">
    <w:name w:val="m_9194543678858120385m-5549595080519233872m-6882426392232333297msoplaintext"/>
    <w:basedOn w:val="Normal"/>
    <w:rsid w:val="00516A83"/>
    <w:pPr>
      <w:suppressAutoHyphens w:val="0"/>
      <w:overflowPunct/>
      <w:spacing w:before="100" w:beforeAutospacing="1" w:after="100" w:afterAutospacing="1" w:line="240" w:lineRule="auto"/>
    </w:pPr>
    <w:rPr>
      <w:rFonts w:ascii="Calibri" w:eastAsiaTheme="minorHAnsi" w:hAnsi="Calibri" w:cs="Calibri"/>
      <w:color w:val="auto"/>
      <w:kern w:val="0"/>
      <w:sz w:val="22"/>
      <w:szCs w:val="22"/>
      <w:lang w:eastAsia="hr-HR"/>
    </w:rPr>
  </w:style>
  <w:style w:type="character" w:styleId="Nerijeenospominjanje">
    <w:name w:val="Unresolved Mention"/>
    <w:basedOn w:val="Zadanifontodlomka"/>
    <w:uiPriority w:val="99"/>
    <w:semiHidden/>
    <w:unhideWhenUsed/>
    <w:rsid w:val="00061187"/>
    <w:rPr>
      <w:color w:val="605E5C"/>
      <w:shd w:val="clear" w:color="auto" w:fill="E1DFDD"/>
    </w:rPr>
  </w:style>
  <w:style w:type="paragraph" w:customStyle="1" w:styleId="Default">
    <w:name w:val="Default"/>
    <w:rsid w:val="009E0EA8"/>
    <w:pPr>
      <w:autoSpaceDE w:val="0"/>
      <w:autoSpaceDN w:val="0"/>
      <w:adjustRightInd w:val="0"/>
    </w:pPr>
    <w:rPr>
      <w:rFonts w:ascii="Calibri" w:hAnsi="Calibri" w:cs="Calibri"/>
      <w:color w:val="000000"/>
      <w:sz w:val="24"/>
      <w:szCs w:val="24"/>
    </w:rPr>
  </w:style>
  <w:style w:type="character" w:styleId="Referencakomentara">
    <w:name w:val="annotation reference"/>
    <w:basedOn w:val="Zadanifontodlomka"/>
    <w:uiPriority w:val="99"/>
    <w:semiHidden/>
    <w:unhideWhenUsed/>
    <w:rsid w:val="00FB3172"/>
    <w:rPr>
      <w:sz w:val="16"/>
      <w:szCs w:val="16"/>
    </w:rPr>
  </w:style>
  <w:style w:type="paragraph" w:styleId="Tekstkomentara">
    <w:name w:val="annotation text"/>
    <w:basedOn w:val="Normal"/>
    <w:link w:val="TekstkomentaraChar"/>
    <w:uiPriority w:val="99"/>
    <w:unhideWhenUsed/>
    <w:rsid w:val="00FB3172"/>
    <w:pPr>
      <w:spacing w:line="240" w:lineRule="auto"/>
    </w:pPr>
    <w:rPr>
      <w:sz w:val="20"/>
      <w:szCs w:val="20"/>
    </w:rPr>
  </w:style>
  <w:style w:type="character" w:customStyle="1" w:styleId="TekstkomentaraChar">
    <w:name w:val="Tekst komentara Char"/>
    <w:basedOn w:val="Zadanifontodlomka"/>
    <w:link w:val="Tekstkomentara"/>
    <w:uiPriority w:val="99"/>
    <w:rsid w:val="00FB3172"/>
    <w:rPr>
      <w:color w:val="00000A"/>
      <w:kern w:val="1"/>
      <w:lang w:eastAsia="zh-CN"/>
    </w:rPr>
  </w:style>
  <w:style w:type="paragraph" w:styleId="Predmetkomentara">
    <w:name w:val="annotation subject"/>
    <w:basedOn w:val="Tekstkomentara"/>
    <w:next w:val="Tekstkomentara"/>
    <w:link w:val="PredmetkomentaraChar"/>
    <w:uiPriority w:val="99"/>
    <w:semiHidden/>
    <w:unhideWhenUsed/>
    <w:rsid w:val="00FB3172"/>
    <w:rPr>
      <w:b/>
      <w:bCs/>
    </w:rPr>
  </w:style>
  <w:style w:type="character" w:customStyle="1" w:styleId="PredmetkomentaraChar">
    <w:name w:val="Predmet komentara Char"/>
    <w:basedOn w:val="TekstkomentaraChar"/>
    <w:link w:val="Predmetkomentara"/>
    <w:uiPriority w:val="99"/>
    <w:semiHidden/>
    <w:rsid w:val="00FB3172"/>
    <w:rPr>
      <w:b/>
      <w:bCs/>
      <w:color w:val="00000A"/>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4613">
      <w:bodyDiv w:val="1"/>
      <w:marLeft w:val="0"/>
      <w:marRight w:val="0"/>
      <w:marTop w:val="0"/>
      <w:marBottom w:val="0"/>
      <w:divBdr>
        <w:top w:val="none" w:sz="0" w:space="0" w:color="auto"/>
        <w:left w:val="none" w:sz="0" w:space="0" w:color="auto"/>
        <w:bottom w:val="none" w:sz="0" w:space="0" w:color="auto"/>
        <w:right w:val="none" w:sz="0" w:space="0" w:color="auto"/>
      </w:divBdr>
    </w:div>
    <w:div w:id="188764081">
      <w:bodyDiv w:val="1"/>
      <w:marLeft w:val="0"/>
      <w:marRight w:val="0"/>
      <w:marTop w:val="0"/>
      <w:marBottom w:val="0"/>
      <w:divBdr>
        <w:top w:val="none" w:sz="0" w:space="0" w:color="auto"/>
        <w:left w:val="none" w:sz="0" w:space="0" w:color="auto"/>
        <w:bottom w:val="none" w:sz="0" w:space="0" w:color="auto"/>
        <w:right w:val="none" w:sz="0" w:space="0" w:color="auto"/>
      </w:divBdr>
    </w:div>
    <w:div w:id="210460270">
      <w:bodyDiv w:val="1"/>
      <w:marLeft w:val="0"/>
      <w:marRight w:val="0"/>
      <w:marTop w:val="0"/>
      <w:marBottom w:val="0"/>
      <w:divBdr>
        <w:top w:val="none" w:sz="0" w:space="0" w:color="auto"/>
        <w:left w:val="none" w:sz="0" w:space="0" w:color="auto"/>
        <w:bottom w:val="none" w:sz="0" w:space="0" w:color="auto"/>
        <w:right w:val="none" w:sz="0" w:space="0" w:color="auto"/>
      </w:divBdr>
    </w:div>
    <w:div w:id="338587368">
      <w:bodyDiv w:val="1"/>
      <w:marLeft w:val="0"/>
      <w:marRight w:val="0"/>
      <w:marTop w:val="0"/>
      <w:marBottom w:val="0"/>
      <w:divBdr>
        <w:top w:val="none" w:sz="0" w:space="0" w:color="auto"/>
        <w:left w:val="none" w:sz="0" w:space="0" w:color="auto"/>
        <w:bottom w:val="none" w:sz="0" w:space="0" w:color="auto"/>
        <w:right w:val="none" w:sz="0" w:space="0" w:color="auto"/>
      </w:divBdr>
    </w:div>
    <w:div w:id="400181653">
      <w:bodyDiv w:val="1"/>
      <w:marLeft w:val="0"/>
      <w:marRight w:val="0"/>
      <w:marTop w:val="0"/>
      <w:marBottom w:val="0"/>
      <w:divBdr>
        <w:top w:val="none" w:sz="0" w:space="0" w:color="auto"/>
        <w:left w:val="none" w:sz="0" w:space="0" w:color="auto"/>
        <w:bottom w:val="none" w:sz="0" w:space="0" w:color="auto"/>
        <w:right w:val="none" w:sz="0" w:space="0" w:color="auto"/>
      </w:divBdr>
    </w:div>
    <w:div w:id="419765237">
      <w:bodyDiv w:val="1"/>
      <w:marLeft w:val="0"/>
      <w:marRight w:val="0"/>
      <w:marTop w:val="0"/>
      <w:marBottom w:val="0"/>
      <w:divBdr>
        <w:top w:val="none" w:sz="0" w:space="0" w:color="auto"/>
        <w:left w:val="none" w:sz="0" w:space="0" w:color="auto"/>
        <w:bottom w:val="none" w:sz="0" w:space="0" w:color="auto"/>
        <w:right w:val="none" w:sz="0" w:space="0" w:color="auto"/>
      </w:divBdr>
    </w:div>
    <w:div w:id="420301424">
      <w:bodyDiv w:val="1"/>
      <w:marLeft w:val="0"/>
      <w:marRight w:val="0"/>
      <w:marTop w:val="0"/>
      <w:marBottom w:val="0"/>
      <w:divBdr>
        <w:top w:val="none" w:sz="0" w:space="0" w:color="auto"/>
        <w:left w:val="none" w:sz="0" w:space="0" w:color="auto"/>
        <w:bottom w:val="none" w:sz="0" w:space="0" w:color="auto"/>
        <w:right w:val="none" w:sz="0" w:space="0" w:color="auto"/>
      </w:divBdr>
    </w:div>
    <w:div w:id="435490379">
      <w:bodyDiv w:val="1"/>
      <w:marLeft w:val="0"/>
      <w:marRight w:val="0"/>
      <w:marTop w:val="0"/>
      <w:marBottom w:val="0"/>
      <w:divBdr>
        <w:top w:val="none" w:sz="0" w:space="0" w:color="auto"/>
        <w:left w:val="none" w:sz="0" w:space="0" w:color="auto"/>
        <w:bottom w:val="none" w:sz="0" w:space="0" w:color="auto"/>
        <w:right w:val="none" w:sz="0" w:space="0" w:color="auto"/>
      </w:divBdr>
    </w:div>
    <w:div w:id="458185867">
      <w:bodyDiv w:val="1"/>
      <w:marLeft w:val="0"/>
      <w:marRight w:val="0"/>
      <w:marTop w:val="0"/>
      <w:marBottom w:val="0"/>
      <w:divBdr>
        <w:top w:val="none" w:sz="0" w:space="0" w:color="auto"/>
        <w:left w:val="none" w:sz="0" w:space="0" w:color="auto"/>
        <w:bottom w:val="none" w:sz="0" w:space="0" w:color="auto"/>
        <w:right w:val="none" w:sz="0" w:space="0" w:color="auto"/>
      </w:divBdr>
    </w:div>
    <w:div w:id="472874004">
      <w:bodyDiv w:val="1"/>
      <w:marLeft w:val="0"/>
      <w:marRight w:val="0"/>
      <w:marTop w:val="0"/>
      <w:marBottom w:val="0"/>
      <w:divBdr>
        <w:top w:val="none" w:sz="0" w:space="0" w:color="auto"/>
        <w:left w:val="none" w:sz="0" w:space="0" w:color="auto"/>
        <w:bottom w:val="none" w:sz="0" w:space="0" w:color="auto"/>
        <w:right w:val="none" w:sz="0" w:space="0" w:color="auto"/>
      </w:divBdr>
    </w:div>
    <w:div w:id="608002666">
      <w:bodyDiv w:val="1"/>
      <w:marLeft w:val="0"/>
      <w:marRight w:val="0"/>
      <w:marTop w:val="0"/>
      <w:marBottom w:val="0"/>
      <w:divBdr>
        <w:top w:val="none" w:sz="0" w:space="0" w:color="auto"/>
        <w:left w:val="none" w:sz="0" w:space="0" w:color="auto"/>
        <w:bottom w:val="none" w:sz="0" w:space="0" w:color="auto"/>
        <w:right w:val="none" w:sz="0" w:space="0" w:color="auto"/>
      </w:divBdr>
    </w:div>
    <w:div w:id="681005386">
      <w:bodyDiv w:val="1"/>
      <w:marLeft w:val="0"/>
      <w:marRight w:val="0"/>
      <w:marTop w:val="0"/>
      <w:marBottom w:val="0"/>
      <w:divBdr>
        <w:top w:val="none" w:sz="0" w:space="0" w:color="auto"/>
        <w:left w:val="none" w:sz="0" w:space="0" w:color="auto"/>
        <w:bottom w:val="none" w:sz="0" w:space="0" w:color="auto"/>
        <w:right w:val="none" w:sz="0" w:space="0" w:color="auto"/>
      </w:divBdr>
    </w:div>
    <w:div w:id="683899126">
      <w:bodyDiv w:val="1"/>
      <w:marLeft w:val="0"/>
      <w:marRight w:val="0"/>
      <w:marTop w:val="0"/>
      <w:marBottom w:val="0"/>
      <w:divBdr>
        <w:top w:val="none" w:sz="0" w:space="0" w:color="auto"/>
        <w:left w:val="none" w:sz="0" w:space="0" w:color="auto"/>
        <w:bottom w:val="none" w:sz="0" w:space="0" w:color="auto"/>
        <w:right w:val="none" w:sz="0" w:space="0" w:color="auto"/>
      </w:divBdr>
    </w:div>
    <w:div w:id="870648680">
      <w:bodyDiv w:val="1"/>
      <w:marLeft w:val="0"/>
      <w:marRight w:val="0"/>
      <w:marTop w:val="0"/>
      <w:marBottom w:val="0"/>
      <w:divBdr>
        <w:top w:val="none" w:sz="0" w:space="0" w:color="auto"/>
        <w:left w:val="none" w:sz="0" w:space="0" w:color="auto"/>
        <w:bottom w:val="none" w:sz="0" w:space="0" w:color="auto"/>
        <w:right w:val="none" w:sz="0" w:space="0" w:color="auto"/>
      </w:divBdr>
    </w:div>
    <w:div w:id="899563121">
      <w:bodyDiv w:val="1"/>
      <w:marLeft w:val="0"/>
      <w:marRight w:val="0"/>
      <w:marTop w:val="0"/>
      <w:marBottom w:val="0"/>
      <w:divBdr>
        <w:top w:val="none" w:sz="0" w:space="0" w:color="auto"/>
        <w:left w:val="none" w:sz="0" w:space="0" w:color="auto"/>
        <w:bottom w:val="none" w:sz="0" w:space="0" w:color="auto"/>
        <w:right w:val="none" w:sz="0" w:space="0" w:color="auto"/>
      </w:divBdr>
    </w:div>
    <w:div w:id="955481539">
      <w:bodyDiv w:val="1"/>
      <w:marLeft w:val="0"/>
      <w:marRight w:val="0"/>
      <w:marTop w:val="0"/>
      <w:marBottom w:val="0"/>
      <w:divBdr>
        <w:top w:val="none" w:sz="0" w:space="0" w:color="auto"/>
        <w:left w:val="none" w:sz="0" w:space="0" w:color="auto"/>
        <w:bottom w:val="none" w:sz="0" w:space="0" w:color="auto"/>
        <w:right w:val="none" w:sz="0" w:space="0" w:color="auto"/>
      </w:divBdr>
    </w:div>
    <w:div w:id="1006327762">
      <w:bodyDiv w:val="1"/>
      <w:marLeft w:val="0"/>
      <w:marRight w:val="0"/>
      <w:marTop w:val="0"/>
      <w:marBottom w:val="0"/>
      <w:divBdr>
        <w:top w:val="none" w:sz="0" w:space="0" w:color="auto"/>
        <w:left w:val="none" w:sz="0" w:space="0" w:color="auto"/>
        <w:bottom w:val="none" w:sz="0" w:space="0" w:color="auto"/>
        <w:right w:val="none" w:sz="0" w:space="0" w:color="auto"/>
      </w:divBdr>
    </w:div>
    <w:div w:id="1172181017">
      <w:bodyDiv w:val="1"/>
      <w:marLeft w:val="0"/>
      <w:marRight w:val="0"/>
      <w:marTop w:val="0"/>
      <w:marBottom w:val="0"/>
      <w:divBdr>
        <w:top w:val="none" w:sz="0" w:space="0" w:color="auto"/>
        <w:left w:val="none" w:sz="0" w:space="0" w:color="auto"/>
        <w:bottom w:val="none" w:sz="0" w:space="0" w:color="auto"/>
        <w:right w:val="none" w:sz="0" w:space="0" w:color="auto"/>
      </w:divBdr>
    </w:div>
    <w:div w:id="1191337450">
      <w:bodyDiv w:val="1"/>
      <w:marLeft w:val="0"/>
      <w:marRight w:val="0"/>
      <w:marTop w:val="0"/>
      <w:marBottom w:val="0"/>
      <w:divBdr>
        <w:top w:val="none" w:sz="0" w:space="0" w:color="auto"/>
        <w:left w:val="none" w:sz="0" w:space="0" w:color="auto"/>
        <w:bottom w:val="none" w:sz="0" w:space="0" w:color="auto"/>
        <w:right w:val="none" w:sz="0" w:space="0" w:color="auto"/>
      </w:divBdr>
    </w:div>
    <w:div w:id="1261260896">
      <w:bodyDiv w:val="1"/>
      <w:marLeft w:val="0"/>
      <w:marRight w:val="0"/>
      <w:marTop w:val="0"/>
      <w:marBottom w:val="0"/>
      <w:divBdr>
        <w:top w:val="none" w:sz="0" w:space="0" w:color="auto"/>
        <w:left w:val="none" w:sz="0" w:space="0" w:color="auto"/>
        <w:bottom w:val="none" w:sz="0" w:space="0" w:color="auto"/>
        <w:right w:val="none" w:sz="0" w:space="0" w:color="auto"/>
      </w:divBdr>
    </w:div>
    <w:div w:id="1271741768">
      <w:bodyDiv w:val="1"/>
      <w:marLeft w:val="0"/>
      <w:marRight w:val="0"/>
      <w:marTop w:val="0"/>
      <w:marBottom w:val="0"/>
      <w:divBdr>
        <w:top w:val="none" w:sz="0" w:space="0" w:color="auto"/>
        <w:left w:val="none" w:sz="0" w:space="0" w:color="auto"/>
        <w:bottom w:val="none" w:sz="0" w:space="0" w:color="auto"/>
        <w:right w:val="none" w:sz="0" w:space="0" w:color="auto"/>
      </w:divBdr>
    </w:div>
    <w:div w:id="1310670247">
      <w:bodyDiv w:val="1"/>
      <w:marLeft w:val="0"/>
      <w:marRight w:val="0"/>
      <w:marTop w:val="0"/>
      <w:marBottom w:val="0"/>
      <w:divBdr>
        <w:top w:val="none" w:sz="0" w:space="0" w:color="auto"/>
        <w:left w:val="none" w:sz="0" w:space="0" w:color="auto"/>
        <w:bottom w:val="none" w:sz="0" w:space="0" w:color="auto"/>
        <w:right w:val="none" w:sz="0" w:space="0" w:color="auto"/>
      </w:divBdr>
    </w:div>
    <w:div w:id="1361659864">
      <w:bodyDiv w:val="1"/>
      <w:marLeft w:val="0"/>
      <w:marRight w:val="0"/>
      <w:marTop w:val="0"/>
      <w:marBottom w:val="0"/>
      <w:divBdr>
        <w:top w:val="none" w:sz="0" w:space="0" w:color="auto"/>
        <w:left w:val="none" w:sz="0" w:space="0" w:color="auto"/>
        <w:bottom w:val="none" w:sz="0" w:space="0" w:color="auto"/>
        <w:right w:val="none" w:sz="0" w:space="0" w:color="auto"/>
      </w:divBdr>
    </w:div>
    <w:div w:id="1381398403">
      <w:bodyDiv w:val="1"/>
      <w:marLeft w:val="0"/>
      <w:marRight w:val="0"/>
      <w:marTop w:val="0"/>
      <w:marBottom w:val="0"/>
      <w:divBdr>
        <w:top w:val="none" w:sz="0" w:space="0" w:color="auto"/>
        <w:left w:val="none" w:sz="0" w:space="0" w:color="auto"/>
        <w:bottom w:val="none" w:sz="0" w:space="0" w:color="auto"/>
        <w:right w:val="none" w:sz="0" w:space="0" w:color="auto"/>
      </w:divBdr>
    </w:div>
    <w:div w:id="1407417263">
      <w:bodyDiv w:val="1"/>
      <w:marLeft w:val="0"/>
      <w:marRight w:val="0"/>
      <w:marTop w:val="0"/>
      <w:marBottom w:val="0"/>
      <w:divBdr>
        <w:top w:val="none" w:sz="0" w:space="0" w:color="auto"/>
        <w:left w:val="none" w:sz="0" w:space="0" w:color="auto"/>
        <w:bottom w:val="none" w:sz="0" w:space="0" w:color="auto"/>
        <w:right w:val="none" w:sz="0" w:space="0" w:color="auto"/>
      </w:divBdr>
    </w:div>
    <w:div w:id="1493108682">
      <w:bodyDiv w:val="1"/>
      <w:marLeft w:val="0"/>
      <w:marRight w:val="0"/>
      <w:marTop w:val="0"/>
      <w:marBottom w:val="0"/>
      <w:divBdr>
        <w:top w:val="none" w:sz="0" w:space="0" w:color="auto"/>
        <w:left w:val="none" w:sz="0" w:space="0" w:color="auto"/>
        <w:bottom w:val="none" w:sz="0" w:space="0" w:color="auto"/>
        <w:right w:val="none" w:sz="0" w:space="0" w:color="auto"/>
      </w:divBdr>
    </w:div>
    <w:div w:id="1565993641">
      <w:bodyDiv w:val="1"/>
      <w:marLeft w:val="0"/>
      <w:marRight w:val="0"/>
      <w:marTop w:val="0"/>
      <w:marBottom w:val="0"/>
      <w:divBdr>
        <w:top w:val="none" w:sz="0" w:space="0" w:color="auto"/>
        <w:left w:val="none" w:sz="0" w:space="0" w:color="auto"/>
        <w:bottom w:val="none" w:sz="0" w:space="0" w:color="auto"/>
        <w:right w:val="none" w:sz="0" w:space="0" w:color="auto"/>
      </w:divBdr>
    </w:div>
    <w:div w:id="1573419766">
      <w:bodyDiv w:val="1"/>
      <w:marLeft w:val="0"/>
      <w:marRight w:val="0"/>
      <w:marTop w:val="0"/>
      <w:marBottom w:val="0"/>
      <w:divBdr>
        <w:top w:val="none" w:sz="0" w:space="0" w:color="auto"/>
        <w:left w:val="none" w:sz="0" w:space="0" w:color="auto"/>
        <w:bottom w:val="none" w:sz="0" w:space="0" w:color="auto"/>
        <w:right w:val="none" w:sz="0" w:space="0" w:color="auto"/>
      </w:divBdr>
    </w:div>
    <w:div w:id="1902713199">
      <w:bodyDiv w:val="1"/>
      <w:marLeft w:val="0"/>
      <w:marRight w:val="0"/>
      <w:marTop w:val="0"/>
      <w:marBottom w:val="0"/>
      <w:divBdr>
        <w:top w:val="none" w:sz="0" w:space="0" w:color="auto"/>
        <w:left w:val="none" w:sz="0" w:space="0" w:color="auto"/>
        <w:bottom w:val="none" w:sz="0" w:space="0" w:color="auto"/>
        <w:right w:val="none" w:sz="0" w:space="0" w:color="auto"/>
      </w:divBdr>
    </w:div>
    <w:div w:id="2005283514">
      <w:bodyDiv w:val="1"/>
      <w:marLeft w:val="0"/>
      <w:marRight w:val="0"/>
      <w:marTop w:val="0"/>
      <w:marBottom w:val="0"/>
      <w:divBdr>
        <w:top w:val="none" w:sz="0" w:space="0" w:color="auto"/>
        <w:left w:val="none" w:sz="0" w:space="0" w:color="auto"/>
        <w:bottom w:val="none" w:sz="0" w:space="0" w:color="auto"/>
        <w:right w:val="none" w:sz="0" w:space="0" w:color="auto"/>
      </w:divBdr>
    </w:div>
    <w:div w:id="20658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1802</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Klasnic</dc:creator>
  <cp:keywords/>
  <dc:description/>
  <cp:lastModifiedBy>Martina Mađerić</cp:lastModifiedBy>
  <cp:revision>2</cp:revision>
  <cp:lastPrinted>2025-04-30T08:07:00Z</cp:lastPrinted>
  <dcterms:created xsi:type="dcterms:W3CDTF">2025-12-22T14:28:00Z</dcterms:created>
  <dcterms:modified xsi:type="dcterms:W3CDTF">2025-12-22T14:28:00Z</dcterms:modified>
</cp:coreProperties>
</file>