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6057" w14:textId="36F64B4D" w:rsidR="00244A5B" w:rsidRPr="00D900CD" w:rsidRDefault="004F75E4" w:rsidP="00244A5B">
      <w:pPr>
        <w:jc w:val="both"/>
        <w:rPr>
          <w:rFonts w:ascii="Arial" w:hAnsi="Arial" w:cs="Arial"/>
        </w:rPr>
      </w:pPr>
      <w:r w:rsidRPr="004F75E4">
        <w:rPr>
          <w:rFonts w:ascii="Arial" w:hAnsi="Arial" w:cs="Arial"/>
        </w:rPr>
        <w:t>N</w:t>
      </w:r>
      <w:r w:rsidR="00111425" w:rsidRPr="004F75E4">
        <w:rPr>
          <w:rFonts w:ascii="Arial" w:hAnsi="Arial" w:cs="Arial"/>
        </w:rPr>
        <w:t xml:space="preserve">a temelju članka 19.a </w:t>
      </w:r>
      <w:r w:rsidRPr="004F75E4">
        <w:rPr>
          <w:rFonts w:ascii="Arial" w:hAnsi="Arial" w:cs="Arial"/>
        </w:rPr>
        <w:t>Zakona o porezu na dohodak</w:t>
      </w:r>
      <w:r w:rsidR="00111425" w:rsidRPr="004F75E4">
        <w:rPr>
          <w:rFonts w:ascii="Arial" w:hAnsi="Arial" w:cs="Arial"/>
        </w:rPr>
        <w:t xml:space="preserve"> („Narodne novine“</w:t>
      </w:r>
      <w:r w:rsidR="008841C7" w:rsidRPr="004F75E4">
        <w:rPr>
          <w:rFonts w:ascii="Arial" w:hAnsi="Arial" w:cs="Arial"/>
        </w:rPr>
        <w:t>,</w:t>
      </w:r>
      <w:r w:rsidR="00111425" w:rsidRPr="004F75E4">
        <w:rPr>
          <w:rFonts w:ascii="Arial" w:hAnsi="Arial" w:cs="Arial"/>
        </w:rPr>
        <w:t xml:space="preserve"> broj 115/16, 106/18, 121/19, 32/20, 138/20, 151/22 i 114/23) i </w:t>
      </w:r>
      <w:r w:rsidR="00244A5B" w:rsidRPr="004F75E4">
        <w:rPr>
          <w:rFonts w:ascii="Arial" w:hAnsi="Arial" w:cs="Arial"/>
        </w:rPr>
        <w:t xml:space="preserve">članka </w:t>
      </w:r>
      <w:r w:rsidR="00726951" w:rsidRPr="00D900CD">
        <w:rPr>
          <w:rFonts w:ascii="Arial" w:hAnsi="Arial" w:cs="Arial"/>
        </w:rPr>
        <w:t>15</w:t>
      </w:r>
      <w:r w:rsidR="00244A5B" w:rsidRPr="00D900CD">
        <w:rPr>
          <w:rFonts w:ascii="Arial" w:hAnsi="Arial" w:cs="Arial"/>
        </w:rPr>
        <w:t>. Statuta Grada Siska („Službeni glasnik Sisačko</w:t>
      </w:r>
      <w:r w:rsidR="00253145">
        <w:rPr>
          <w:rFonts w:ascii="Arial" w:hAnsi="Arial" w:cs="Arial"/>
        </w:rPr>
        <w:t>-</w:t>
      </w:r>
      <w:r w:rsidR="00244A5B" w:rsidRPr="00D900CD">
        <w:rPr>
          <w:rFonts w:ascii="Arial" w:hAnsi="Arial" w:cs="Arial"/>
        </w:rPr>
        <w:t>moslavačke županije“, broj 12/09, 16/10, 9/11, 18/12, 4/13, 16/13 – pročišćeni tekst, 14/14, 9/15, 10/16, 6/18, 18/18 – pročišćeni tekst, 4/20, 8/21 i „Službeni glasnik Grada Siska“</w:t>
      </w:r>
      <w:r w:rsidR="008841C7" w:rsidRPr="00D900CD">
        <w:rPr>
          <w:rFonts w:ascii="Arial" w:hAnsi="Arial" w:cs="Arial"/>
        </w:rPr>
        <w:t xml:space="preserve">, </w:t>
      </w:r>
      <w:r w:rsidR="00244A5B" w:rsidRPr="00D900CD">
        <w:rPr>
          <w:rFonts w:ascii="Arial" w:hAnsi="Arial" w:cs="Arial"/>
        </w:rPr>
        <w:t xml:space="preserve">broj 4/23), </w:t>
      </w:r>
      <w:r w:rsidRPr="00D900CD">
        <w:rPr>
          <w:rFonts w:ascii="Arial" w:hAnsi="Arial" w:cs="Arial"/>
        </w:rPr>
        <w:t xml:space="preserve">Gradsko vijeće Grada Siska </w:t>
      </w:r>
      <w:r w:rsidR="000943F2" w:rsidRPr="00D900CD">
        <w:rPr>
          <w:rFonts w:ascii="Arial" w:hAnsi="Arial" w:cs="Arial"/>
        </w:rPr>
        <w:t>na sjednici</w:t>
      </w:r>
      <w:r w:rsidR="00726951" w:rsidRPr="00D900CD">
        <w:rPr>
          <w:rFonts w:ascii="Arial" w:hAnsi="Arial" w:cs="Arial"/>
        </w:rPr>
        <w:t xml:space="preserve"> održanoj dana</w:t>
      </w:r>
      <w:r w:rsidR="005D6AAA" w:rsidRPr="00D900CD">
        <w:rPr>
          <w:rFonts w:ascii="Arial" w:hAnsi="Arial" w:cs="Arial"/>
        </w:rPr>
        <w:t xml:space="preserve"> </w:t>
      </w:r>
      <w:r w:rsidR="000943F2" w:rsidRPr="00D900CD">
        <w:rPr>
          <w:rFonts w:ascii="Arial" w:hAnsi="Arial" w:cs="Arial"/>
        </w:rPr>
        <w:t>__________</w:t>
      </w:r>
      <w:r w:rsidRPr="00D900CD">
        <w:rPr>
          <w:rFonts w:ascii="Arial" w:hAnsi="Arial" w:cs="Arial"/>
        </w:rPr>
        <w:t xml:space="preserve"> 2023. godine</w:t>
      </w:r>
      <w:r w:rsidR="00A33EBA" w:rsidRPr="00D900CD">
        <w:rPr>
          <w:rFonts w:ascii="Arial" w:hAnsi="Arial" w:cs="Arial"/>
        </w:rPr>
        <w:t>,</w:t>
      </w:r>
      <w:r w:rsidRPr="00D900CD">
        <w:rPr>
          <w:rFonts w:ascii="Arial" w:hAnsi="Arial" w:cs="Arial"/>
        </w:rPr>
        <w:t xml:space="preserve"> </w:t>
      </w:r>
      <w:r w:rsidR="00244A5B" w:rsidRPr="00D900CD">
        <w:rPr>
          <w:rFonts w:ascii="Arial" w:hAnsi="Arial" w:cs="Arial"/>
          <w:bCs/>
          <w:iCs/>
        </w:rPr>
        <w:t>don</w:t>
      </w:r>
      <w:r w:rsidRPr="00D900CD">
        <w:rPr>
          <w:rFonts w:ascii="Arial" w:hAnsi="Arial" w:cs="Arial"/>
          <w:bCs/>
          <w:iCs/>
        </w:rPr>
        <w:t>ijelo je</w:t>
      </w:r>
    </w:p>
    <w:p w14:paraId="1E24C492" w14:textId="77777777" w:rsidR="00111425" w:rsidRDefault="00111425" w:rsidP="004F75E4">
      <w:pPr>
        <w:pStyle w:val="Bezproreda"/>
        <w:jc w:val="center"/>
        <w:rPr>
          <w:rFonts w:ascii="Arial" w:hAnsi="Arial" w:cs="Arial"/>
          <w:b/>
          <w:bCs/>
        </w:rPr>
      </w:pPr>
    </w:p>
    <w:p w14:paraId="3418D4FA" w14:textId="77777777" w:rsidR="004F75E4" w:rsidRPr="009F105E" w:rsidRDefault="004F75E4" w:rsidP="004F75E4">
      <w:pPr>
        <w:pStyle w:val="Bezproreda"/>
        <w:jc w:val="center"/>
        <w:rPr>
          <w:rFonts w:ascii="Arial" w:hAnsi="Arial" w:cs="Arial"/>
          <w:b/>
          <w:bCs/>
          <w:sz w:val="26"/>
          <w:szCs w:val="26"/>
        </w:rPr>
      </w:pPr>
    </w:p>
    <w:p w14:paraId="0395DC26" w14:textId="77777777" w:rsidR="00111425" w:rsidRPr="009F105E" w:rsidRDefault="00111425" w:rsidP="004F75E4">
      <w:pPr>
        <w:pStyle w:val="Bezproreda"/>
        <w:jc w:val="center"/>
        <w:rPr>
          <w:rFonts w:ascii="Arial" w:hAnsi="Arial" w:cs="Arial"/>
          <w:b/>
          <w:bCs/>
          <w:sz w:val="26"/>
          <w:szCs w:val="26"/>
        </w:rPr>
      </w:pPr>
      <w:r w:rsidRPr="009F105E">
        <w:rPr>
          <w:rFonts w:ascii="Arial" w:hAnsi="Arial" w:cs="Arial"/>
          <w:b/>
          <w:bCs/>
          <w:sz w:val="26"/>
          <w:szCs w:val="26"/>
        </w:rPr>
        <w:t>ODLUKU</w:t>
      </w:r>
    </w:p>
    <w:p w14:paraId="272B5FBE" w14:textId="77777777" w:rsidR="00111425" w:rsidRPr="009F105E" w:rsidRDefault="00111425" w:rsidP="004F75E4">
      <w:pPr>
        <w:pStyle w:val="Bezproreda"/>
        <w:jc w:val="center"/>
        <w:rPr>
          <w:rFonts w:ascii="Arial" w:hAnsi="Arial" w:cs="Arial"/>
          <w:b/>
          <w:bCs/>
          <w:sz w:val="26"/>
          <w:szCs w:val="26"/>
        </w:rPr>
      </w:pPr>
      <w:r w:rsidRPr="009F105E">
        <w:rPr>
          <w:rFonts w:ascii="Arial" w:hAnsi="Arial" w:cs="Arial"/>
          <w:b/>
          <w:bCs/>
          <w:sz w:val="26"/>
          <w:szCs w:val="26"/>
        </w:rPr>
        <w:t>o visini poreznih stopa godišnjeg poreza na dohodak</w:t>
      </w:r>
    </w:p>
    <w:p w14:paraId="4604CFDE" w14:textId="7C0AF525" w:rsidR="006E3646" w:rsidRPr="009F105E" w:rsidRDefault="00E47DA1" w:rsidP="004F75E4">
      <w:pPr>
        <w:pStyle w:val="Bezproreda"/>
        <w:jc w:val="center"/>
        <w:rPr>
          <w:rFonts w:ascii="Arial" w:hAnsi="Arial" w:cs="Arial"/>
          <w:b/>
          <w:bCs/>
          <w:sz w:val="26"/>
          <w:szCs w:val="26"/>
        </w:rPr>
      </w:pPr>
      <w:r w:rsidRPr="009F105E">
        <w:rPr>
          <w:rFonts w:ascii="Arial" w:hAnsi="Arial" w:cs="Arial"/>
          <w:b/>
          <w:bCs/>
          <w:sz w:val="26"/>
          <w:szCs w:val="26"/>
        </w:rPr>
        <w:t xml:space="preserve">na području </w:t>
      </w:r>
      <w:r w:rsidR="00AB380D">
        <w:rPr>
          <w:rFonts w:ascii="Arial" w:hAnsi="Arial" w:cs="Arial"/>
          <w:b/>
          <w:bCs/>
          <w:sz w:val="26"/>
          <w:szCs w:val="26"/>
        </w:rPr>
        <w:t>G</w:t>
      </w:r>
      <w:r w:rsidRPr="009F105E">
        <w:rPr>
          <w:rFonts w:ascii="Arial" w:hAnsi="Arial" w:cs="Arial"/>
          <w:b/>
          <w:bCs/>
          <w:sz w:val="26"/>
          <w:szCs w:val="26"/>
        </w:rPr>
        <w:t>rada Siska</w:t>
      </w:r>
    </w:p>
    <w:p w14:paraId="140F1F18" w14:textId="77777777" w:rsidR="00E162B9" w:rsidRDefault="00E162B9" w:rsidP="00111425">
      <w:pPr>
        <w:jc w:val="center"/>
        <w:rPr>
          <w:rFonts w:ascii="Arial" w:hAnsi="Arial" w:cs="Arial"/>
        </w:rPr>
      </w:pPr>
    </w:p>
    <w:p w14:paraId="5910EE71" w14:textId="77777777" w:rsidR="004F75E4" w:rsidRPr="004F75E4" w:rsidRDefault="004F75E4" w:rsidP="00111425">
      <w:pPr>
        <w:jc w:val="center"/>
        <w:rPr>
          <w:rFonts w:ascii="Arial" w:hAnsi="Arial" w:cs="Arial"/>
        </w:rPr>
      </w:pPr>
    </w:p>
    <w:p w14:paraId="41A75B4E" w14:textId="77777777" w:rsidR="00C440B4" w:rsidRPr="004F75E4" w:rsidRDefault="00C440B4" w:rsidP="00C440B4">
      <w:pPr>
        <w:jc w:val="center"/>
        <w:rPr>
          <w:rFonts w:ascii="Arial" w:hAnsi="Arial" w:cs="Arial"/>
          <w:b/>
          <w:bCs/>
        </w:rPr>
      </w:pPr>
      <w:r w:rsidRPr="004F75E4">
        <w:rPr>
          <w:rFonts w:ascii="Arial" w:hAnsi="Arial" w:cs="Arial"/>
          <w:b/>
          <w:bCs/>
        </w:rPr>
        <w:t>Članak 1.</w:t>
      </w:r>
    </w:p>
    <w:p w14:paraId="4C668924" w14:textId="035A38A9" w:rsidR="00C440B4" w:rsidRPr="004F75E4" w:rsidRDefault="00C440B4" w:rsidP="00C440B4">
      <w:pPr>
        <w:jc w:val="both"/>
        <w:rPr>
          <w:rFonts w:ascii="Arial" w:hAnsi="Arial" w:cs="Arial"/>
        </w:rPr>
      </w:pPr>
      <w:r w:rsidRPr="004F75E4">
        <w:rPr>
          <w:rFonts w:ascii="Arial" w:hAnsi="Arial" w:cs="Arial"/>
        </w:rPr>
        <w:t>Ovom Odlukom utvrđuje se visina poreznih stopa godišnjeg poreza na dohodak za porezne o</w:t>
      </w:r>
      <w:r w:rsidR="00E47DA1" w:rsidRPr="004F75E4">
        <w:rPr>
          <w:rFonts w:ascii="Arial" w:hAnsi="Arial" w:cs="Arial"/>
        </w:rPr>
        <w:t xml:space="preserve">bveznike na području </w:t>
      </w:r>
      <w:r w:rsidR="00253145">
        <w:rPr>
          <w:rFonts w:ascii="Arial" w:hAnsi="Arial" w:cs="Arial"/>
        </w:rPr>
        <w:t>G</w:t>
      </w:r>
      <w:r w:rsidR="00E47DA1" w:rsidRPr="004F75E4">
        <w:rPr>
          <w:rFonts w:ascii="Arial" w:hAnsi="Arial" w:cs="Arial"/>
        </w:rPr>
        <w:t>rada Siska</w:t>
      </w:r>
      <w:r w:rsidRPr="004F75E4">
        <w:rPr>
          <w:rFonts w:ascii="Arial" w:hAnsi="Arial" w:cs="Arial"/>
        </w:rPr>
        <w:t>.</w:t>
      </w:r>
    </w:p>
    <w:p w14:paraId="14A800B3" w14:textId="77777777" w:rsidR="00C440B4" w:rsidRPr="004F75E4" w:rsidRDefault="00C440B4" w:rsidP="00C440B4">
      <w:pPr>
        <w:jc w:val="center"/>
        <w:rPr>
          <w:rFonts w:ascii="Arial" w:hAnsi="Arial" w:cs="Arial"/>
          <w:b/>
          <w:bCs/>
        </w:rPr>
      </w:pPr>
      <w:r w:rsidRPr="004F75E4">
        <w:rPr>
          <w:rFonts w:ascii="Arial" w:hAnsi="Arial" w:cs="Arial"/>
          <w:b/>
          <w:bCs/>
        </w:rPr>
        <w:t>Članak 2.</w:t>
      </w:r>
    </w:p>
    <w:p w14:paraId="0C2F859C" w14:textId="77777777" w:rsidR="00C440B4" w:rsidRPr="004F75E4" w:rsidRDefault="00C440B4" w:rsidP="00C440B4">
      <w:pPr>
        <w:jc w:val="both"/>
        <w:rPr>
          <w:rFonts w:ascii="Arial" w:hAnsi="Arial" w:cs="Arial"/>
        </w:rPr>
      </w:pPr>
      <w:r w:rsidRPr="004F75E4">
        <w:rPr>
          <w:rFonts w:ascii="Arial" w:hAnsi="Arial" w:cs="Arial"/>
        </w:rPr>
        <w:t>Porezne stope iz članka 1. ove Odluke utvrđuju se kako slijedi:</w:t>
      </w:r>
    </w:p>
    <w:p w14:paraId="16255617" w14:textId="013FE95E" w:rsidR="00C440B4" w:rsidRPr="00455523" w:rsidRDefault="00C440B4" w:rsidP="00C440B4">
      <w:pPr>
        <w:pStyle w:val="Odlomakpopisa"/>
        <w:numPr>
          <w:ilvl w:val="0"/>
          <w:numId w:val="2"/>
        </w:numPr>
        <w:jc w:val="both"/>
        <w:rPr>
          <w:rFonts w:ascii="Arial" w:hAnsi="Arial" w:cs="Arial"/>
        </w:rPr>
      </w:pPr>
      <w:r w:rsidRPr="00455523">
        <w:rPr>
          <w:rFonts w:ascii="Arial" w:hAnsi="Arial" w:cs="Arial"/>
        </w:rPr>
        <w:t xml:space="preserve">Niža porezna stopa </w:t>
      </w:r>
      <w:r w:rsidR="00A35099" w:rsidRPr="00455523">
        <w:rPr>
          <w:rFonts w:ascii="Arial" w:hAnsi="Arial" w:cs="Arial"/>
        </w:rPr>
        <w:t>23</w:t>
      </w:r>
      <w:r w:rsidRPr="00455523">
        <w:rPr>
          <w:rFonts w:ascii="Arial" w:hAnsi="Arial" w:cs="Arial"/>
        </w:rPr>
        <w:t>%,</w:t>
      </w:r>
    </w:p>
    <w:p w14:paraId="31646E79" w14:textId="52BA2FE9" w:rsidR="00C440B4" w:rsidRPr="00455523" w:rsidRDefault="00C440B4" w:rsidP="00C440B4">
      <w:pPr>
        <w:pStyle w:val="Odlomakpopisa"/>
        <w:numPr>
          <w:ilvl w:val="0"/>
          <w:numId w:val="2"/>
        </w:numPr>
        <w:jc w:val="both"/>
        <w:rPr>
          <w:rFonts w:ascii="Arial" w:hAnsi="Arial" w:cs="Arial"/>
        </w:rPr>
      </w:pPr>
      <w:r w:rsidRPr="00455523">
        <w:rPr>
          <w:rFonts w:ascii="Arial" w:hAnsi="Arial" w:cs="Arial"/>
        </w:rPr>
        <w:t xml:space="preserve">Viša porezna stopa </w:t>
      </w:r>
      <w:r w:rsidR="00A35099" w:rsidRPr="00455523">
        <w:rPr>
          <w:rFonts w:ascii="Arial" w:hAnsi="Arial" w:cs="Arial"/>
        </w:rPr>
        <w:t>34</w:t>
      </w:r>
      <w:r w:rsidRPr="00455523">
        <w:rPr>
          <w:rFonts w:ascii="Arial" w:hAnsi="Arial" w:cs="Arial"/>
        </w:rPr>
        <w:t>%.</w:t>
      </w:r>
    </w:p>
    <w:p w14:paraId="74EEE1AF" w14:textId="77777777" w:rsidR="00C440B4" w:rsidRPr="004F75E4" w:rsidRDefault="00C440B4" w:rsidP="00C440B4">
      <w:pPr>
        <w:jc w:val="center"/>
        <w:rPr>
          <w:rFonts w:ascii="Arial" w:hAnsi="Arial" w:cs="Arial"/>
          <w:b/>
          <w:bCs/>
        </w:rPr>
      </w:pPr>
      <w:r w:rsidRPr="004F75E4">
        <w:rPr>
          <w:rFonts w:ascii="Arial" w:hAnsi="Arial" w:cs="Arial"/>
          <w:b/>
          <w:bCs/>
        </w:rPr>
        <w:t>Članak 3.</w:t>
      </w:r>
    </w:p>
    <w:p w14:paraId="0B54EC97" w14:textId="5B46898D" w:rsidR="00C440B4" w:rsidRPr="004F75E4" w:rsidRDefault="00C440B4" w:rsidP="00C440B4">
      <w:pPr>
        <w:jc w:val="both"/>
        <w:rPr>
          <w:rFonts w:ascii="Arial" w:hAnsi="Arial" w:cs="Arial"/>
        </w:rPr>
      </w:pPr>
      <w:r w:rsidRPr="004F75E4">
        <w:rPr>
          <w:rFonts w:ascii="Arial" w:hAnsi="Arial" w:cs="Arial"/>
        </w:rPr>
        <w:t xml:space="preserve">Ova Odluka objavit će se u „Narodnim novinama“ </w:t>
      </w:r>
      <w:r w:rsidR="00E47DA1" w:rsidRPr="004F75E4">
        <w:rPr>
          <w:rFonts w:ascii="Arial" w:hAnsi="Arial" w:cs="Arial"/>
        </w:rPr>
        <w:t xml:space="preserve">i „Službenim </w:t>
      </w:r>
      <w:r w:rsidR="008841C7" w:rsidRPr="004F75E4">
        <w:rPr>
          <w:rFonts w:ascii="Arial" w:hAnsi="Arial" w:cs="Arial"/>
        </w:rPr>
        <w:t>glasniku</w:t>
      </w:r>
      <w:r w:rsidR="00E47DA1" w:rsidRPr="004F75E4">
        <w:rPr>
          <w:rFonts w:ascii="Arial" w:hAnsi="Arial" w:cs="Arial"/>
        </w:rPr>
        <w:t xml:space="preserve"> Grada Siska</w:t>
      </w:r>
      <w:r w:rsidRPr="004F75E4">
        <w:rPr>
          <w:rFonts w:ascii="Arial" w:hAnsi="Arial" w:cs="Arial"/>
        </w:rPr>
        <w:t>“, a stupa na snagu 1.</w:t>
      </w:r>
      <w:r w:rsidR="00D520FF" w:rsidRPr="004F75E4">
        <w:rPr>
          <w:rFonts w:ascii="Arial" w:hAnsi="Arial" w:cs="Arial"/>
        </w:rPr>
        <w:t xml:space="preserve"> </w:t>
      </w:r>
      <w:r w:rsidRPr="004F75E4">
        <w:rPr>
          <w:rFonts w:ascii="Arial" w:hAnsi="Arial" w:cs="Arial"/>
        </w:rPr>
        <w:t>siječnja 2024. godine.</w:t>
      </w:r>
    </w:p>
    <w:p w14:paraId="540513A1" w14:textId="77777777" w:rsidR="00C440B4" w:rsidRPr="004F75E4" w:rsidRDefault="00C440B4" w:rsidP="00C440B4">
      <w:pPr>
        <w:jc w:val="both"/>
        <w:rPr>
          <w:rFonts w:ascii="Arial" w:hAnsi="Arial" w:cs="Arial"/>
        </w:rPr>
      </w:pPr>
      <w:r w:rsidRPr="004F75E4">
        <w:rPr>
          <w:rFonts w:ascii="Arial" w:hAnsi="Arial" w:cs="Arial"/>
        </w:rPr>
        <w:t xml:space="preserve"> </w:t>
      </w:r>
    </w:p>
    <w:p w14:paraId="61CED8DC" w14:textId="77777777" w:rsidR="00C440B4" w:rsidRPr="004F75E4" w:rsidRDefault="00C440B4" w:rsidP="00C440B4">
      <w:pPr>
        <w:jc w:val="both"/>
        <w:rPr>
          <w:rFonts w:ascii="Arial" w:hAnsi="Arial" w:cs="Arial"/>
        </w:rPr>
      </w:pPr>
    </w:p>
    <w:p w14:paraId="65F9039C" w14:textId="0E7EC754" w:rsidR="00E162B9" w:rsidRPr="004F75E4" w:rsidRDefault="00E162B9" w:rsidP="00E162B9">
      <w:pPr>
        <w:tabs>
          <w:tab w:val="left" w:pos="6450"/>
        </w:tabs>
        <w:jc w:val="right"/>
        <w:rPr>
          <w:rFonts w:ascii="Arial" w:hAnsi="Arial" w:cs="Arial"/>
        </w:rPr>
      </w:pPr>
      <w:r w:rsidRPr="004F75E4">
        <w:rPr>
          <w:rFonts w:ascii="Arial" w:hAnsi="Arial" w:cs="Arial"/>
        </w:rPr>
        <w:t xml:space="preserve">                        PREDSJEDNIK GRADSKOG VIJEĆA</w:t>
      </w:r>
    </w:p>
    <w:p w14:paraId="2A8AA4F8" w14:textId="325FFBE5" w:rsidR="00E162B9" w:rsidRDefault="00E162B9" w:rsidP="00E162B9">
      <w:pPr>
        <w:tabs>
          <w:tab w:val="left" w:pos="6450"/>
        </w:tabs>
        <w:jc w:val="center"/>
        <w:rPr>
          <w:rFonts w:ascii="Arial" w:hAnsi="Arial" w:cs="Arial"/>
        </w:rPr>
      </w:pPr>
      <w:r w:rsidRPr="004F75E4">
        <w:rPr>
          <w:rFonts w:ascii="Arial" w:hAnsi="Arial" w:cs="Arial"/>
        </w:rPr>
        <w:t xml:space="preserve">                                                                                </w:t>
      </w:r>
      <w:r w:rsidR="004F75E4">
        <w:rPr>
          <w:rFonts w:ascii="Arial" w:hAnsi="Arial" w:cs="Arial"/>
        </w:rPr>
        <w:t xml:space="preserve">       </w:t>
      </w:r>
      <w:r w:rsidRPr="004F75E4">
        <w:rPr>
          <w:rFonts w:ascii="Arial" w:hAnsi="Arial" w:cs="Arial"/>
        </w:rPr>
        <w:t>Bojan Dadasović</w:t>
      </w:r>
    </w:p>
    <w:p w14:paraId="3138CBC7" w14:textId="77777777" w:rsidR="00071BE3" w:rsidRPr="00071BE3" w:rsidRDefault="00071BE3" w:rsidP="00071BE3">
      <w:pPr>
        <w:rPr>
          <w:rFonts w:ascii="Arial" w:hAnsi="Arial" w:cs="Arial"/>
        </w:rPr>
      </w:pPr>
    </w:p>
    <w:p w14:paraId="52EABE90" w14:textId="77777777" w:rsidR="00071BE3" w:rsidRPr="00071BE3" w:rsidRDefault="00071BE3" w:rsidP="00071BE3">
      <w:pPr>
        <w:rPr>
          <w:rFonts w:ascii="Arial" w:hAnsi="Arial" w:cs="Arial"/>
        </w:rPr>
      </w:pPr>
    </w:p>
    <w:p w14:paraId="40242F52" w14:textId="77777777" w:rsidR="00071BE3" w:rsidRDefault="00071BE3" w:rsidP="00071BE3">
      <w:pPr>
        <w:rPr>
          <w:rFonts w:ascii="Arial" w:hAnsi="Arial" w:cs="Arial"/>
        </w:rPr>
      </w:pPr>
    </w:p>
    <w:p w14:paraId="1E1BCF50" w14:textId="77777777" w:rsidR="00071BE3" w:rsidRDefault="00071BE3" w:rsidP="00071BE3">
      <w:pPr>
        <w:rPr>
          <w:rFonts w:ascii="Arial" w:hAnsi="Arial" w:cs="Arial"/>
        </w:rPr>
      </w:pPr>
    </w:p>
    <w:p w14:paraId="3A5211C3" w14:textId="77777777" w:rsidR="00071BE3" w:rsidRDefault="00071BE3" w:rsidP="00071BE3">
      <w:pPr>
        <w:rPr>
          <w:rFonts w:ascii="Arial" w:hAnsi="Arial" w:cs="Arial"/>
        </w:rPr>
      </w:pPr>
    </w:p>
    <w:p w14:paraId="46EFB534" w14:textId="77777777" w:rsidR="00071BE3" w:rsidRDefault="00071BE3" w:rsidP="00071BE3">
      <w:pPr>
        <w:rPr>
          <w:rFonts w:ascii="Arial" w:hAnsi="Arial" w:cs="Arial"/>
        </w:rPr>
      </w:pPr>
    </w:p>
    <w:p w14:paraId="382704FC" w14:textId="77777777" w:rsidR="00071BE3" w:rsidRDefault="00071BE3" w:rsidP="00071BE3">
      <w:pPr>
        <w:rPr>
          <w:rFonts w:ascii="Arial" w:hAnsi="Arial" w:cs="Arial"/>
        </w:rPr>
      </w:pPr>
    </w:p>
    <w:p w14:paraId="6293885F" w14:textId="77777777" w:rsidR="00071BE3" w:rsidRPr="00071BE3" w:rsidRDefault="00071BE3" w:rsidP="00071BE3">
      <w:pPr>
        <w:spacing w:after="0" w:line="240" w:lineRule="auto"/>
        <w:jc w:val="center"/>
        <w:rPr>
          <w:rFonts w:ascii="Arial" w:eastAsia="Times New Roman" w:hAnsi="Arial" w:cs="Arial"/>
          <w:b/>
        </w:rPr>
      </w:pPr>
      <w:r w:rsidRPr="00071BE3">
        <w:rPr>
          <w:rFonts w:ascii="Arial" w:eastAsia="Times New Roman" w:hAnsi="Arial" w:cs="Arial"/>
          <w:b/>
        </w:rPr>
        <w:lastRenderedPageBreak/>
        <w:t xml:space="preserve">O B R A Z L O Ž E N J E </w:t>
      </w:r>
    </w:p>
    <w:p w14:paraId="50E398A6" w14:textId="77777777" w:rsidR="00071BE3" w:rsidRPr="00071BE3" w:rsidRDefault="00071BE3" w:rsidP="00071BE3">
      <w:pPr>
        <w:spacing w:after="0" w:line="240" w:lineRule="auto"/>
        <w:jc w:val="center"/>
        <w:rPr>
          <w:rFonts w:ascii="Arial" w:eastAsia="Times New Roman" w:hAnsi="Arial" w:cs="Arial"/>
          <w:b/>
        </w:rPr>
      </w:pPr>
      <w:r w:rsidRPr="00071BE3">
        <w:rPr>
          <w:rFonts w:ascii="Arial" w:eastAsia="Times New Roman" w:hAnsi="Arial" w:cs="Arial"/>
          <w:b/>
        </w:rPr>
        <w:t xml:space="preserve">Nacrta prijedloga Odluke o visini poreznih stopa godišnjeg poreza na dohodak </w:t>
      </w:r>
    </w:p>
    <w:p w14:paraId="74036605" w14:textId="7F3C6453" w:rsidR="00450BA0" w:rsidRDefault="00071BE3" w:rsidP="00450BA0">
      <w:pPr>
        <w:spacing w:after="0" w:line="240" w:lineRule="auto"/>
        <w:jc w:val="center"/>
        <w:rPr>
          <w:rFonts w:ascii="Arial" w:eastAsia="Times New Roman" w:hAnsi="Arial" w:cs="Arial"/>
          <w:b/>
        </w:rPr>
      </w:pPr>
      <w:r w:rsidRPr="00071BE3">
        <w:rPr>
          <w:rFonts w:ascii="Arial" w:eastAsia="Times New Roman" w:hAnsi="Arial" w:cs="Arial"/>
          <w:b/>
        </w:rPr>
        <w:t xml:space="preserve">na području </w:t>
      </w:r>
      <w:r w:rsidR="00D900CD">
        <w:rPr>
          <w:rFonts w:ascii="Arial" w:eastAsia="Times New Roman" w:hAnsi="Arial" w:cs="Arial"/>
          <w:b/>
        </w:rPr>
        <w:t>G</w:t>
      </w:r>
      <w:r w:rsidRPr="00071BE3">
        <w:rPr>
          <w:rFonts w:ascii="Arial" w:eastAsia="Times New Roman" w:hAnsi="Arial" w:cs="Arial"/>
          <w:b/>
        </w:rPr>
        <w:t>rada Sisk</w:t>
      </w:r>
      <w:r w:rsidR="00450BA0">
        <w:rPr>
          <w:rFonts w:ascii="Arial" w:eastAsia="Times New Roman" w:hAnsi="Arial" w:cs="Arial"/>
          <w:b/>
        </w:rPr>
        <w:t>a</w:t>
      </w:r>
    </w:p>
    <w:p w14:paraId="066C632A" w14:textId="77777777" w:rsidR="00071BE3" w:rsidRPr="00071BE3" w:rsidRDefault="00071BE3" w:rsidP="00071BE3">
      <w:pPr>
        <w:autoSpaceDE w:val="0"/>
        <w:autoSpaceDN w:val="0"/>
        <w:adjustRightInd w:val="0"/>
        <w:spacing w:after="0" w:line="240" w:lineRule="auto"/>
        <w:jc w:val="both"/>
        <w:rPr>
          <w:rFonts w:ascii="Arial" w:eastAsia="Times New Roman" w:hAnsi="Arial" w:cs="Arial"/>
          <w:lang w:eastAsia="hr-HR"/>
        </w:rPr>
      </w:pPr>
    </w:p>
    <w:p w14:paraId="0724FA88" w14:textId="37C8400D"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Zakonom o izmjenama i dopuni Zakona o lokalnim porezima („Narodne novine“</w:t>
      </w:r>
      <w:r w:rsidR="0034466A">
        <w:rPr>
          <w:rFonts w:ascii="Arial" w:eastAsia="Times New Roman" w:hAnsi="Arial" w:cs="Arial"/>
          <w:lang w:eastAsia="hr-HR"/>
        </w:rPr>
        <w:t>,</w:t>
      </w:r>
      <w:r w:rsidRPr="00DF3C92">
        <w:rPr>
          <w:rFonts w:ascii="Arial" w:eastAsia="Times New Roman" w:hAnsi="Arial" w:cs="Arial"/>
          <w:lang w:eastAsia="hr-HR"/>
        </w:rPr>
        <w:t xml:space="preserve"> broj 114/23), kojeg je Hrvatski sabor donio 28. rujna 2023. godine, ukinut je prirez porezu na dohodak kao jedan od poreza koje su, temeljem dosadašnjih odredbi Zakona o lokalnim porezima („Narodne novine“</w:t>
      </w:r>
      <w:r w:rsidR="0034466A">
        <w:rPr>
          <w:rFonts w:ascii="Arial" w:eastAsia="Times New Roman" w:hAnsi="Arial" w:cs="Arial"/>
          <w:lang w:eastAsia="hr-HR"/>
        </w:rPr>
        <w:t>,</w:t>
      </w:r>
      <w:r w:rsidRPr="00DF3C92">
        <w:rPr>
          <w:rFonts w:ascii="Arial" w:eastAsia="Times New Roman" w:hAnsi="Arial" w:cs="Arial"/>
          <w:lang w:eastAsia="hr-HR"/>
        </w:rPr>
        <w:t xml:space="preserve"> broj 115/16, 101/17 i 114/22) mogle uvesti jedinice lokalne samouprave (gradovi i općine). Istoga dana donesen je i Zakon o izmjenama i dopunama Zakona o porezu na dohodak („Narodne novine“</w:t>
      </w:r>
      <w:r w:rsidR="00262DA7">
        <w:rPr>
          <w:rFonts w:ascii="Arial" w:eastAsia="Times New Roman" w:hAnsi="Arial" w:cs="Arial"/>
          <w:lang w:eastAsia="hr-HR"/>
        </w:rPr>
        <w:t xml:space="preserve">, </w:t>
      </w:r>
      <w:r w:rsidRPr="00DF3C92">
        <w:rPr>
          <w:rFonts w:ascii="Arial" w:eastAsia="Times New Roman" w:hAnsi="Arial" w:cs="Arial"/>
          <w:lang w:eastAsia="hr-HR"/>
        </w:rPr>
        <w:t>broj 114/23), kojim su, pored ostalog, slijedom navedenog ukidanja prireza porezu na dohodak ukinute i odredbe dosadašnjeg Zakona o porezu na dohodak („Narodne novine“</w:t>
      </w:r>
      <w:r w:rsidR="0034466A">
        <w:rPr>
          <w:rFonts w:ascii="Arial" w:eastAsia="Times New Roman" w:hAnsi="Arial" w:cs="Arial"/>
          <w:lang w:eastAsia="hr-HR"/>
        </w:rPr>
        <w:t>,</w:t>
      </w:r>
      <w:r w:rsidRPr="00DF3C92">
        <w:rPr>
          <w:rFonts w:ascii="Arial" w:eastAsia="Times New Roman" w:hAnsi="Arial" w:cs="Arial"/>
          <w:lang w:eastAsia="hr-HR"/>
        </w:rPr>
        <w:t xml:space="preserve"> broj 115/16, 106/18, 121/19, 32/20, 138/20 i 151/22), kojima je bilo propisano da se porez na dohodak uvećava za iznos prireza porezu na dohodak. </w:t>
      </w:r>
    </w:p>
    <w:p w14:paraId="30ABF6B1" w14:textId="77777777"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 xml:space="preserve">Prirez porezu na dohodak je vrijednosno značajan izvor prihoda jedinica lokalne samouprave, pri čemu su, sukladno dosadašnjim propisima jedinice lokalne samouprave odnosno gradovi i općine mogli samostalno odlučivati o njegovu uvođenju, kao i o visini stope prireza porezu na dohodak unutar zakonom propisanog raspona. </w:t>
      </w:r>
    </w:p>
    <w:p w14:paraId="5023C27C" w14:textId="3B1D7B8B"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 xml:space="preserve">U tom smislu je, sukladno dosadašnjim zakonskim odredbama, još uvijek važećom Odlukom o lokalnim porezima Grada Siska („Narodne novine“, broj 67/17 i 3/18 i „Službeni glasnik Sisačko-moslavačke županije“, broj 14/17 i 30/17), kao jedan od gradskih poreza utvrđen upravo prirez porezu na dohodak, s propisanom stopom od 10%. S obzirom na ukidanje prireza porezu na dohodak i citiranu Odluku o lokalnim porezima Grada Siska bit će potrebno odgovarajuće uskladiti s navedenim zakonskih izmjenama, što nije predmet ovoga materijala. </w:t>
      </w:r>
    </w:p>
    <w:p w14:paraId="06E8F541" w14:textId="77777777"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p>
    <w:p w14:paraId="321568CD" w14:textId="2DD74296"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Kako bi se jedinicama lokalne samouprave nadoknadio značajan gubitak prihoda uslijed ukidanja prireza porezu na dohodak, odredbama izmijenjenog Zakona o porezu na dohodak („Narodne novine“</w:t>
      </w:r>
      <w:r w:rsidR="0034466A">
        <w:rPr>
          <w:rFonts w:ascii="Arial" w:eastAsia="Times New Roman" w:hAnsi="Arial" w:cs="Arial"/>
          <w:lang w:eastAsia="hr-HR"/>
        </w:rPr>
        <w:t>,</w:t>
      </w:r>
      <w:r w:rsidRPr="00DF3C92">
        <w:rPr>
          <w:rFonts w:ascii="Arial" w:eastAsia="Times New Roman" w:hAnsi="Arial" w:cs="Arial"/>
          <w:lang w:eastAsia="hr-HR"/>
        </w:rPr>
        <w:t xml:space="preserve"> broj 115/16, 106/18, 121/19, 32/20, 138/20, 151/22 i 114/23) – dalje: Zakon, gradovima i općinama omogućeno je da svojim odlukama samostalno upravljaju visinom stopa poreza na dohodak odnosno da propišu visinu stope ovoga poreza u Zakonom utvrđenim granicama za godišnje dohotke (dohodak od nesamostalnog rada, samostalne djelatnosti i drugi dohodak koji se ne smatra konačnim), a u svrhu postizanja ciljane visine prihoda potrebnih za nesmetano provođenje i ostvarivanje propisima utvrđenih poslova i zadataka jedinica lokalne samouprave. </w:t>
      </w:r>
    </w:p>
    <w:p w14:paraId="7A623E0F" w14:textId="77777777"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Potrebno je napomenuti da su navedene zakonske izmjene donesene radi povećanja fiskalne autonomije jedinica lokalne samouprave u poreznim prihodima, kakvu ima većina zemalja u svijetu, pri čemu će lokalne jedinice moći samostalno, svojim odlukama, upravljati visinom poreznih stopa za godišnje dohotke koje ostvaruju fizičke osobe, a što je u skladu s Europskom poveljom o lokalnoj samoupravi. Naime, prema navedenoj Povelji najmanje dio prihoda lokalnih jedinica mora proizlaziti iz poreza i naknada, stope kojih, u granicama utvrđenim Zakonom, određuju same lokalne jedinice.</w:t>
      </w:r>
    </w:p>
    <w:p w14:paraId="25F3D17E" w14:textId="77777777"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p>
    <w:p w14:paraId="15B894FC" w14:textId="7EA0FD09"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r w:rsidRPr="00DF3C92">
        <w:rPr>
          <w:rFonts w:ascii="Arial" w:eastAsia="Times New Roman" w:hAnsi="Arial" w:cs="Arial"/>
          <w:lang w:eastAsia="hr-HR"/>
        </w:rPr>
        <w:t xml:space="preserve">Slijedom navedenog, člankom 19. a Zakona propisano je da visine poreznih stopa određuju predstavnička tijela jedinica lokalne samouprave svojom odlukom, pri čemu grad s više od 30.000 stanovnika (u koju kategoriju pripada i </w:t>
      </w:r>
      <w:r w:rsidR="0024384E" w:rsidRPr="00DF3C92">
        <w:rPr>
          <w:rFonts w:ascii="Arial" w:eastAsia="Times New Roman" w:hAnsi="Arial" w:cs="Arial"/>
          <w:lang w:eastAsia="hr-HR"/>
        </w:rPr>
        <w:t>Sisak</w:t>
      </w:r>
      <w:r w:rsidRPr="00DF3C92">
        <w:rPr>
          <w:rFonts w:ascii="Arial" w:eastAsia="Times New Roman" w:hAnsi="Arial" w:cs="Arial"/>
          <w:lang w:eastAsia="hr-HR"/>
        </w:rPr>
        <w:t xml:space="preserve">) nižu stopu propisuje u granicama od 15% do 23% te višu stopu u granicama od 25% do 34,50%. Sukladno odredbi članka 38. stavka 2. navedenog Zakona o izmjenama i dopunama Zakona o porezu na dohodak, jedinice lokalne samouprave, pa tako i Grad </w:t>
      </w:r>
      <w:r w:rsidR="0024384E" w:rsidRPr="00DF3C92">
        <w:rPr>
          <w:rFonts w:ascii="Arial" w:eastAsia="Times New Roman" w:hAnsi="Arial" w:cs="Arial"/>
          <w:lang w:eastAsia="hr-HR"/>
        </w:rPr>
        <w:t>Sisak</w:t>
      </w:r>
      <w:r w:rsidRPr="00DF3C92">
        <w:rPr>
          <w:rFonts w:ascii="Arial" w:eastAsia="Times New Roman" w:hAnsi="Arial" w:cs="Arial"/>
          <w:lang w:eastAsia="hr-HR"/>
        </w:rPr>
        <w:t>, dužne su navedenu odluku o visini poreznih stopa godišnjeg poreza na dohodak donijeti i objaviti do kraja 2023. godine, pri čemu sama odluka stupa na snagu 1. siječnja 2024. godine.</w:t>
      </w:r>
    </w:p>
    <w:p w14:paraId="65384297" w14:textId="77777777" w:rsidR="00071BE3" w:rsidRPr="00DF3C92" w:rsidRDefault="00071BE3" w:rsidP="00071BE3">
      <w:pPr>
        <w:autoSpaceDE w:val="0"/>
        <w:autoSpaceDN w:val="0"/>
        <w:adjustRightInd w:val="0"/>
        <w:spacing w:after="0" w:line="240" w:lineRule="auto"/>
        <w:ind w:firstLine="720"/>
        <w:jc w:val="both"/>
        <w:rPr>
          <w:rFonts w:ascii="Arial" w:eastAsia="Times New Roman" w:hAnsi="Arial" w:cs="Arial"/>
          <w:lang w:eastAsia="hr-HR"/>
        </w:rPr>
      </w:pPr>
    </w:p>
    <w:p w14:paraId="3A5F79CA" w14:textId="77777777" w:rsidR="00071BE3" w:rsidRPr="00DF3C92" w:rsidRDefault="00071BE3" w:rsidP="00071BE3">
      <w:pPr>
        <w:spacing w:after="0" w:line="240" w:lineRule="auto"/>
        <w:ind w:firstLine="720"/>
        <w:jc w:val="both"/>
        <w:rPr>
          <w:rFonts w:ascii="Arial" w:eastAsia="Times New Roman" w:hAnsi="Arial" w:cs="Arial"/>
        </w:rPr>
      </w:pPr>
      <w:r w:rsidRPr="00DF3C92">
        <w:rPr>
          <w:rFonts w:ascii="Arial" w:eastAsia="Times New Roman" w:hAnsi="Arial" w:cs="Arial"/>
        </w:rPr>
        <w:t>Pored ukidanja prireza porezu na dohodak, Zakonom su u odnosu na godišnje dohotke utvrđene i slijedeće promjene:</w:t>
      </w:r>
    </w:p>
    <w:p w14:paraId="7BD0198A" w14:textId="77777777" w:rsidR="00071BE3" w:rsidRPr="00DF3C92" w:rsidRDefault="00071BE3" w:rsidP="00071BE3">
      <w:pPr>
        <w:numPr>
          <w:ilvl w:val="0"/>
          <w:numId w:val="3"/>
        </w:numPr>
        <w:spacing w:after="160" w:line="259" w:lineRule="auto"/>
        <w:contextualSpacing/>
        <w:jc w:val="both"/>
        <w:rPr>
          <w:rFonts w:ascii="Arial" w:eastAsia="Calibri" w:hAnsi="Arial" w:cs="Arial"/>
        </w:rPr>
      </w:pPr>
      <w:r w:rsidRPr="00DF3C92">
        <w:rPr>
          <w:rFonts w:ascii="Arial" w:eastAsia="Calibri" w:hAnsi="Arial" w:cs="Arial"/>
        </w:rPr>
        <w:lastRenderedPageBreak/>
        <w:t>povećan je iznos mjesečnog osnovnog osobnog odbitka sa sadašnjih 530,90 eura na 560,00 eura (povećanje za 5,5%) te su povećani iznosi osobnog odbitka za uzdržavane članove obitelji i djecu (povećanje u prosjeku za 27,7%) te invalidnost (povećanje u prosjeku za 19,5%),</w:t>
      </w:r>
    </w:p>
    <w:p w14:paraId="7970B732" w14:textId="77777777" w:rsidR="00071BE3" w:rsidRDefault="00071BE3" w:rsidP="00071BE3">
      <w:pPr>
        <w:numPr>
          <w:ilvl w:val="0"/>
          <w:numId w:val="3"/>
        </w:numPr>
        <w:spacing w:after="160" w:line="259" w:lineRule="auto"/>
        <w:contextualSpacing/>
        <w:jc w:val="both"/>
        <w:rPr>
          <w:rFonts w:ascii="Arial" w:eastAsia="Calibri" w:hAnsi="Arial" w:cs="Arial"/>
        </w:rPr>
      </w:pPr>
      <w:r w:rsidRPr="00DF3C92">
        <w:rPr>
          <w:rFonts w:ascii="Arial" w:eastAsia="Calibri" w:hAnsi="Arial" w:cs="Arial"/>
        </w:rPr>
        <w:t>povećanje iznosa mjesečne porezne osnovice na koju se obračunava niža stopa poreza (sada je niža stopa 20%) sa sadašnjih 3.981,69 eura na 4.200,00 eura (povećanje za 5,5%), odnosno povećanje godišnje porezne osnovice s 47.780,28 eura na 50.400,00 eura.</w:t>
      </w:r>
    </w:p>
    <w:p w14:paraId="57BA8877" w14:textId="77777777" w:rsidR="00CE7E78" w:rsidRPr="00DF3C92" w:rsidRDefault="00CE7E78" w:rsidP="003603D7">
      <w:pPr>
        <w:spacing w:after="160" w:line="259" w:lineRule="auto"/>
        <w:contextualSpacing/>
        <w:jc w:val="both"/>
        <w:rPr>
          <w:rFonts w:ascii="Arial" w:eastAsia="Calibri" w:hAnsi="Arial" w:cs="Arial"/>
        </w:rPr>
      </w:pPr>
    </w:p>
    <w:p w14:paraId="7FD077A0" w14:textId="2F278FDC" w:rsidR="00836BC7" w:rsidRPr="00455523" w:rsidRDefault="00071BE3" w:rsidP="0089334A">
      <w:pPr>
        <w:spacing w:after="160" w:line="259" w:lineRule="auto"/>
        <w:ind w:firstLine="708"/>
        <w:contextualSpacing/>
        <w:jc w:val="both"/>
        <w:rPr>
          <w:rFonts w:ascii="Arial" w:eastAsia="Times New Roman" w:hAnsi="Arial" w:cs="Arial"/>
        </w:rPr>
      </w:pPr>
      <w:r w:rsidRPr="00455523">
        <w:rPr>
          <w:rFonts w:ascii="Arial" w:eastAsia="Times New Roman" w:hAnsi="Arial" w:cs="Arial"/>
        </w:rPr>
        <w:t>Citiranim promjenama smanjit će se porezno opterećenje i povećati neto primanja odnosno raspoloživi dohodak poreznih obveznika.</w:t>
      </w:r>
    </w:p>
    <w:p w14:paraId="5811B66D" w14:textId="77777777" w:rsidR="00214796" w:rsidRPr="00DF3C92" w:rsidRDefault="00214796" w:rsidP="00071BE3">
      <w:pPr>
        <w:spacing w:after="160" w:line="259" w:lineRule="auto"/>
        <w:ind w:firstLine="708"/>
        <w:contextualSpacing/>
        <w:jc w:val="both"/>
        <w:rPr>
          <w:rFonts w:ascii="Arial" w:eastAsia="Times New Roman" w:hAnsi="Arial" w:cs="Arial"/>
        </w:rPr>
      </w:pPr>
    </w:p>
    <w:p w14:paraId="37D94426" w14:textId="1BC6C2BE" w:rsidR="00836BC7" w:rsidRDefault="00071BE3" w:rsidP="0089334A">
      <w:pPr>
        <w:spacing w:after="160" w:line="259" w:lineRule="auto"/>
        <w:ind w:firstLine="709"/>
        <w:jc w:val="both"/>
        <w:rPr>
          <w:rFonts w:ascii="Arial" w:eastAsia="Times New Roman" w:hAnsi="Arial" w:cs="Arial"/>
        </w:rPr>
      </w:pPr>
      <w:r w:rsidRPr="00DF3C92">
        <w:rPr>
          <w:rFonts w:ascii="Arial" w:eastAsia="Times New Roman" w:hAnsi="Arial" w:cs="Arial"/>
        </w:rPr>
        <w:t xml:space="preserve">Međutim, navedenim izmjenama zakonskih propisa posljedično će se smanjiti prihodi od poreza i prireza na dohodak </w:t>
      </w:r>
      <w:r w:rsidR="00FF3B53">
        <w:rPr>
          <w:rFonts w:ascii="Arial" w:eastAsia="Times New Roman" w:hAnsi="Arial" w:cs="Arial"/>
        </w:rPr>
        <w:t>Grada Siska</w:t>
      </w:r>
      <w:r w:rsidR="00214796">
        <w:rPr>
          <w:rFonts w:ascii="Arial" w:eastAsia="Times New Roman" w:hAnsi="Arial" w:cs="Arial"/>
        </w:rPr>
        <w:t xml:space="preserve">. </w:t>
      </w:r>
      <w:r w:rsidRPr="00DF3C92">
        <w:rPr>
          <w:rFonts w:ascii="Arial" w:eastAsia="Times New Roman" w:hAnsi="Arial" w:cs="Arial"/>
        </w:rPr>
        <w:t>Naime, povećanje osobnih odbitaka izravno utječe na smanjenje porezne osnovice za obračun poreza na dohodak, no najveće smanjenje prihoda očekuje se zbog ukidanja prireza porezu na dohodak koji se naplaćuje po stopi od 1</w:t>
      </w:r>
      <w:r w:rsidR="009D509F" w:rsidRPr="00DF3C92">
        <w:rPr>
          <w:rFonts w:ascii="Arial" w:eastAsia="Times New Roman" w:hAnsi="Arial" w:cs="Arial"/>
        </w:rPr>
        <w:t>0</w:t>
      </w:r>
      <w:r w:rsidRPr="00DF3C92">
        <w:rPr>
          <w:rFonts w:ascii="Arial" w:eastAsia="Times New Roman" w:hAnsi="Arial" w:cs="Arial"/>
        </w:rPr>
        <w:t xml:space="preserve">%. </w:t>
      </w:r>
    </w:p>
    <w:p w14:paraId="20F6371F" w14:textId="3329A201" w:rsidR="00836BC7" w:rsidRDefault="00FF3B53" w:rsidP="0089334A">
      <w:pPr>
        <w:spacing w:after="160" w:line="259" w:lineRule="auto"/>
        <w:ind w:firstLine="709"/>
        <w:jc w:val="both"/>
        <w:rPr>
          <w:rFonts w:ascii="Arial" w:eastAsia="Times New Roman" w:hAnsi="Arial" w:cs="Arial"/>
        </w:rPr>
      </w:pPr>
      <w:r>
        <w:rPr>
          <w:rFonts w:ascii="Arial" w:eastAsia="Times New Roman" w:hAnsi="Arial" w:cs="Arial"/>
        </w:rPr>
        <w:t xml:space="preserve">Analizom podataka </w:t>
      </w:r>
      <w:r w:rsidR="00EF4A9E">
        <w:rPr>
          <w:rFonts w:ascii="Arial" w:eastAsia="Times New Roman" w:hAnsi="Arial" w:cs="Arial"/>
        </w:rPr>
        <w:t xml:space="preserve">o uplaćenom porezu na dohodak, osobnim odbicima utvrđeno je da više od 50% (polovice) zaposlenih građana ne plaća porez niti prirez (porezna osnovica je 0,00 €), dok ostali, </w:t>
      </w:r>
      <w:r w:rsidR="00CE7E78">
        <w:rPr>
          <w:rFonts w:ascii="Arial" w:eastAsia="Times New Roman" w:hAnsi="Arial" w:cs="Arial"/>
        </w:rPr>
        <w:t>manje od 50% (polovice)</w:t>
      </w:r>
      <w:r w:rsidR="00EF4A9E">
        <w:rPr>
          <w:rFonts w:ascii="Arial" w:eastAsia="Times New Roman" w:hAnsi="Arial" w:cs="Arial"/>
        </w:rPr>
        <w:t xml:space="preserve"> zaposlenih plaća porez na dohodak po </w:t>
      </w:r>
      <w:r w:rsidR="00284D19">
        <w:rPr>
          <w:rFonts w:ascii="Arial" w:eastAsia="Times New Roman" w:hAnsi="Arial" w:cs="Arial"/>
        </w:rPr>
        <w:t xml:space="preserve">nižoj </w:t>
      </w:r>
      <w:r w:rsidR="00EF4A9E">
        <w:rPr>
          <w:rFonts w:ascii="Arial" w:eastAsia="Times New Roman" w:hAnsi="Arial" w:cs="Arial"/>
        </w:rPr>
        <w:t>stopi od 20%</w:t>
      </w:r>
      <w:r w:rsidR="00284D19">
        <w:rPr>
          <w:rFonts w:ascii="Arial" w:eastAsia="Times New Roman" w:hAnsi="Arial" w:cs="Arial"/>
        </w:rPr>
        <w:t xml:space="preserve"> + prirez</w:t>
      </w:r>
      <w:r w:rsidR="00EF4A9E">
        <w:rPr>
          <w:rFonts w:ascii="Arial" w:eastAsia="Times New Roman" w:hAnsi="Arial" w:cs="Arial"/>
        </w:rPr>
        <w:t xml:space="preserve">, a tek nekolicina koja ne čini niti 0,3% zaposlenih plaća porez na dohodak po </w:t>
      </w:r>
      <w:r w:rsidR="00284D19">
        <w:rPr>
          <w:rFonts w:ascii="Arial" w:eastAsia="Times New Roman" w:hAnsi="Arial" w:cs="Arial"/>
        </w:rPr>
        <w:t xml:space="preserve">višoj stopi </w:t>
      </w:r>
      <w:r w:rsidR="00EF4A9E">
        <w:rPr>
          <w:rFonts w:ascii="Arial" w:eastAsia="Times New Roman" w:hAnsi="Arial" w:cs="Arial"/>
        </w:rPr>
        <w:t>od 30%</w:t>
      </w:r>
      <w:r w:rsidR="00284D19">
        <w:rPr>
          <w:rFonts w:ascii="Arial" w:eastAsia="Times New Roman" w:hAnsi="Arial" w:cs="Arial"/>
        </w:rPr>
        <w:t xml:space="preserve"> + prirez</w:t>
      </w:r>
      <w:r w:rsidR="00EF4A9E">
        <w:rPr>
          <w:rFonts w:ascii="Arial" w:eastAsia="Times New Roman" w:hAnsi="Arial" w:cs="Arial"/>
        </w:rPr>
        <w:t xml:space="preserve">. </w:t>
      </w:r>
    </w:p>
    <w:p w14:paraId="5C252E3D" w14:textId="30C95C6E" w:rsidR="00071BE3" w:rsidRPr="00455523" w:rsidRDefault="00284D19" w:rsidP="00455523">
      <w:pPr>
        <w:spacing w:after="160" w:line="259" w:lineRule="auto"/>
        <w:ind w:firstLine="720"/>
        <w:contextualSpacing/>
        <w:jc w:val="both"/>
        <w:rPr>
          <w:rFonts w:ascii="Arial" w:eastAsia="Calibri" w:hAnsi="Arial" w:cs="Arial"/>
        </w:rPr>
      </w:pPr>
      <w:r w:rsidRPr="00455523">
        <w:rPr>
          <w:rFonts w:ascii="Arial" w:eastAsia="Calibri" w:hAnsi="Arial" w:cs="Arial"/>
        </w:rPr>
        <w:t>Također,</w:t>
      </w:r>
      <w:r w:rsidR="00836BC7" w:rsidRPr="00455523">
        <w:rPr>
          <w:rFonts w:ascii="Arial" w:eastAsia="Calibri" w:hAnsi="Arial" w:cs="Arial"/>
        </w:rPr>
        <w:t xml:space="preserve"> </w:t>
      </w:r>
      <w:r w:rsidRPr="00455523">
        <w:rPr>
          <w:rFonts w:ascii="Arial" w:eastAsia="Calibri" w:hAnsi="Arial" w:cs="Arial"/>
        </w:rPr>
        <w:t>prema Zakonu o financiranju jedinica lokalne i područne samouprave („Narodne novine“</w:t>
      </w:r>
      <w:r w:rsidR="0034466A">
        <w:rPr>
          <w:rFonts w:ascii="Arial" w:eastAsia="Calibri" w:hAnsi="Arial" w:cs="Arial"/>
        </w:rPr>
        <w:t>,</w:t>
      </w:r>
      <w:r w:rsidRPr="00455523">
        <w:rPr>
          <w:rFonts w:ascii="Arial" w:eastAsia="Calibri" w:hAnsi="Arial" w:cs="Arial"/>
        </w:rPr>
        <w:t xml:space="preserve"> broj 127/17, 138/20, 151/22 i 114/23), prihod od poreza na dohodak je zajednički prihod koji se dijeli između općina odnosno gradova i županija. Konkretno, trenutno od ostvarenog prihoda od poreza na dohodak na području </w:t>
      </w:r>
      <w:r w:rsidR="003603D7">
        <w:rPr>
          <w:rFonts w:ascii="Arial" w:eastAsia="Calibri" w:hAnsi="Arial" w:cs="Arial"/>
        </w:rPr>
        <w:t>G</w:t>
      </w:r>
      <w:r w:rsidRPr="00455523">
        <w:rPr>
          <w:rFonts w:ascii="Arial" w:eastAsia="Calibri" w:hAnsi="Arial" w:cs="Arial"/>
        </w:rPr>
        <w:t xml:space="preserve">rada Siska, Gradu Sisku pripada udio od 76,9% naplaćenog poreza, a Sisačko-moslavačkoj županiji 23,1% naplaćenog poreza. Pritom naplaćeni prirez porezu na dohodak u cijelosti pripada Gradu Sisku jer se radi o lokalnom porezu. Međutim, </w:t>
      </w:r>
      <w:r w:rsidR="00CE7E78" w:rsidRPr="00455523">
        <w:rPr>
          <w:rFonts w:ascii="Arial" w:eastAsia="Calibri" w:hAnsi="Arial" w:cs="Arial"/>
        </w:rPr>
        <w:t>ukidanjem prireza na dohodak i određivanjem „novih“ stopa poreza na dohodak (više i niže stope)</w:t>
      </w:r>
      <w:r w:rsidRPr="00455523">
        <w:rPr>
          <w:rFonts w:ascii="Arial" w:eastAsia="Calibri" w:hAnsi="Arial" w:cs="Arial"/>
        </w:rPr>
        <w:t xml:space="preserve">, </w:t>
      </w:r>
      <w:r w:rsidR="00CE7E78" w:rsidRPr="00455523">
        <w:rPr>
          <w:rFonts w:ascii="Arial" w:eastAsia="Calibri" w:hAnsi="Arial" w:cs="Arial"/>
        </w:rPr>
        <w:t xml:space="preserve">navedeni </w:t>
      </w:r>
      <w:r w:rsidRPr="00455523">
        <w:rPr>
          <w:rFonts w:ascii="Arial" w:eastAsia="Calibri" w:hAnsi="Arial" w:cs="Arial"/>
        </w:rPr>
        <w:t>prihod od poreza na dohodak koji će se ostvarivati biti će dijeljen između Grada Sisk</w:t>
      </w:r>
      <w:r w:rsidR="003603D7">
        <w:rPr>
          <w:rFonts w:ascii="Arial" w:eastAsia="Calibri" w:hAnsi="Arial" w:cs="Arial"/>
        </w:rPr>
        <w:t>a</w:t>
      </w:r>
      <w:r w:rsidRPr="00455523">
        <w:rPr>
          <w:rFonts w:ascii="Arial" w:eastAsia="Calibri" w:hAnsi="Arial" w:cs="Arial"/>
        </w:rPr>
        <w:t xml:space="preserve"> i Sisačko-moslavačke županije po prethodno navedenim omjerima, s obzirom da se Zakonom o izmjenama Zakona o financiranju jedinica lokalne i područne samouprave („Narodne novine“</w:t>
      </w:r>
      <w:r w:rsidR="003603D7">
        <w:rPr>
          <w:rFonts w:ascii="Arial" w:eastAsia="Calibri" w:hAnsi="Arial" w:cs="Arial"/>
        </w:rPr>
        <w:t>,</w:t>
      </w:r>
      <w:r w:rsidRPr="00455523">
        <w:rPr>
          <w:rFonts w:ascii="Arial" w:eastAsia="Calibri" w:hAnsi="Arial" w:cs="Arial"/>
        </w:rPr>
        <w:t xml:space="preserve"> broj 114/23) ne mijenjaju udjeli u raspodjeli poreza na dohodak. Stoga je i ta činjenica razlog zašto neće biti moguće u cijelosti nadoknaditi gubitak poreznih prihoda</w:t>
      </w:r>
      <w:r w:rsidR="00836BC7" w:rsidRPr="00455523">
        <w:rPr>
          <w:rFonts w:ascii="Arial" w:eastAsia="Calibri" w:hAnsi="Arial" w:cs="Arial"/>
        </w:rPr>
        <w:t>.</w:t>
      </w:r>
    </w:p>
    <w:p w14:paraId="2B1573BB" w14:textId="77777777" w:rsidR="00836BC7" w:rsidRPr="00DF3C92" w:rsidRDefault="00836BC7" w:rsidP="00836BC7">
      <w:pPr>
        <w:spacing w:after="0" w:line="240" w:lineRule="auto"/>
        <w:jc w:val="both"/>
        <w:rPr>
          <w:rFonts w:ascii="Arial" w:eastAsia="Times New Roman" w:hAnsi="Arial" w:cs="Arial"/>
        </w:rPr>
      </w:pPr>
    </w:p>
    <w:p w14:paraId="52BF80DD" w14:textId="77998BED" w:rsidR="00836BC7" w:rsidRDefault="00071BE3" w:rsidP="00455523">
      <w:pPr>
        <w:spacing w:after="160" w:line="259" w:lineRule="auto"/>
        <w:ind w:firstLine="709"/>
        <w:jc w:val="both"/>
        <w:rPr>
          <w:rFonts w:ascii="Arial" w:eastAsia="Times New Roman" w:hAnsi="Arial" w:cs="Arial"/>
        </w:rPr>
      </w:pPr>
      <w:r w:rsidRPr="00DF3C92">
        <w:rPr>
          <w:rFonts w:ascii="Arial" w:eastAsia="Times New Roman" w:hAnsi="Arial" w:cs="Arial"/>
        </w:rPr>
        <w:t>S obzirom na značajan gubitak poreznih prihoda, prvenstveno zbog ukidanja prireza porezu na dohodak, Zakonom je propisana mogućnost da jedinice lokalne samouprave  svojim odlukama propišu visinu poreznih stopa za godišnje dohotke u zakonskim granicama, ovisno o broju stanovnika, a kako bi na taj način zadržale razinu prihoda koja im je potrebna za obavljanje zadaća iz svoje nadležnosti sukladno propisima. Sukladno članku 19.a Zakona predstavničko tijelo jedinica lokalne samouprave može svojom odlukom propisati visine poreznih stopa (nižu i višu stopu), raspon kojih je utvrđen ovisno o veličini jedinice lokalne samouprave i koje su, u odnosu na važeće stope poreza na dohodak, uvećane za dosadašnji maksimalno mogući prirez, kako slijedi:</w:t>
      </w:r>
    </w:p>
    <w:p w14:paraId="2A41B4D6" w14:textId="5F38D5EE" w:rsidR="0089334A" w:rsidRDefault="0089334A">
      <w:pPr>
        <w:rPr>
          <w:rFonts w:ascii="Arial" w:eastAsia="Times New Roman" w:hAnsi="Arial" w:cs="Arial"/>
        </w:rPr>
      </w:pPr>
      <w:r>
        <w:rPr>
          <w:rFonts w:ascii="Arial" w:eastAsia="Times New Roman" w:hAnsi="Arial" w:cs="Arial"/>
        </w:rPr>
        <w:br w:type="page"/>
      </w:r>
    </w:p>
    <w:p w14:paraId="2273F5F0" w14:textId="77777777" w:rsidR="00836BC7" w:rsidRPr="00DF3C92" w:rsidRDefault="00836BC7" w:rsidP="00071BE3">
      <w:pPr>
        <w:spacing w:after="0" w:line="240" w:lineRule="auto"/>
        <w:ind w:firstLine="708"/>
        <w:jc w:val="both"/>
        <w:rPr>
          <w:rFonts w:ascii="Arial" w:eastAsia="Times New Roman" w:hAnsi="Arial" w:cs="Arial"/>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984"/>
      </w:tblGrid>
      <w:tr w:rsidR="00071BE3" w:rsidRPr="00DF3C92" w14:paraId="141326AA" w14:textId="77777777" w:rsidTr="001E3917">
        <w:tc>
          <w:tcPr>
            <w:tcW w:w="2376" w:type="dxa"/>
            <w:shd w:val="clear" w:color="auto" w:fill="auto"/>
            <w:vAlign w:val="center"/>
          </w:tcPr>
          <w:p w14:paraId="696D723E" w14:textId="77777777" w:rsidR="00071BE3" w:rsidRPr="00DF3C92" w:rsidRDefault="00071BE3" w:rsidP="00071BE3">
            <w:pPr>
              <w:spacing w:after="0" w:line="240" w:lineRule="auto"/>
              <w:jc w:val="center"/>
              <w:rPr>
                <w:rFonts w:ascii="Arial" w:eastAsia="Times New Roman" w:hAnsi="Arial" w:cs="Arial"/>
              </w:rPr>
            </w:pPr>
            <w:r w:rsidRPr="00DF3C92">
              <w:rPr>
                <w:rFonts w:ascii="Arial" w:eastAsia="Times New Roman" w:hAnsi="Arial" w:cs="Arial"/>
              </w:rPr>
              <w:t>Broj stanovnika općine/grada</w:t>
            </w:r>
          </w:p>
        </w:tc>
        <w:tc>
          <w:tcPr>
            <w:tcW w:w="2127" w:type="dxa"/>
            <w:shd w:val="clear" w:color="auto" w:fill="auto"/>
            <w:vAlign w:val="center"/>
          </w:tcPr>
          <w:p w14:paraId="26C4B387" w14:textId="77777777" w:rsidR="00071BE3" w:rsidRPr="00DF3C92" w:rsidRDefault="00071BE3" w:rsidP="00071BE3">
            <w:pPr>
              <w:spacing w:after="0" w:line="240" w:lineRule="auto"/>
              <w:jc w:val="center"/>
              <w:rPr>
                <w:rFonts w:ascii="Arial" w:eastAsia="Times New Roman" w:hAnsi="Arial" w:cs="Arial"/>
              </w:rPr>
            </w:pPr>
            <w:r w:rsidRPr="00DF3C92">
              <w:rPr>
                <w:rFonts w:ascii="Arial" w:eastAsia="Times New Roman" w:hAnsi="Arial" w:cs="Arial"/>
              </w:rPr>
              <w:t>Niža stopa poreza na dohodak u granicama</w:t>
            </w:r>
          </w:p>
        </w:tc>
        <w:tc>
          <w:tcPr>
            <w:tcW w:w="1984" w:type="dxa"/>
            <w:shd w:val="clear" w:color="auto" w:fill="auto"/>
            <w:vAlign w:val="center"/>
          </w:tcPr>
          <w:p w14:paraId="6328174F" w14:textId="77777777" w:rsidR="00071BE3" w:rsidRPr="00DF3C92" w:rsidRDefault="00071BE3" w:rsidP="00071BE3">
            <w:pPr>
              <w:spacing w:after="0" w:line="240" w:lineRule="auto"/>
              <w:jc w:val="center"/>
              <w:rPr>
                <w:rFonts w:ascii="Arial" w:eastAsia="Times New Roman" w:hAnsi="Arial" w:cs="Arial"/>
              </w:rPr>
            </w:pPr>
            <w:r w:rsidRPr="00DF3C92">
              <w:rPr>
                <w:rFonts w:ascii="Arial" w:eastAsia="Times New Roman" w:hAnsi="Arial" w:cs="Arial"/>
              </w:rPr>
              <w:t>Viša stopa poreza na dohodak u granicama</w:t>
            </w:r>
          </w:p>
        </w:tc>
      </w:tr>
      <w:tr w:rsidR="00071BE3" w:rsidRPr="00DF3C92" w14:paraId="3335CBF0" w14:textId="77777777" w:rsidTr="001E3917">
        <w:tc>
          <w:tcPr>
            <w:tcW w:w="2376" w:type="dxa"/>
            <w:shd w:val="clear" w:color="auto" w:fill="auto"/>
          </w:tcPr>
          <w:p w14:paraId="3DBF0FFD"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Općina</w:t>
            </w:r>
          </w:p>
        </w:tc>
        <w:tc>
          <w:tcPr>
            <w:tcW w:w="2127" w:type="dxa"/>
            <w:shd w:val="clear" w:color="auto" w:fill="auto"/>
          </w:tcPr>
          <w:p w14:paraId="65D53AA5"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15% do 22%</w:t>
            </w:r>
          </w:p>
        </w:tc>
        <w:tc>
          <w:tcPr>
            <w:tcW w:w="1984" w:type="dxa"/>
            <w:shd w:val="clear" w:color="auto" w:fill="auto"/>
          </w:tcPr>
          <w:p w14:paraId="4037AEB2"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25% do 33%</w:t>
            </w:r>
          </w:p>
        </w:tc>
      </w:tr>
      <w:tr w:rsidR="00071BE3" w:rsidRPr="00DF3C92" w14:paraId="4C186907" w14:textId="77777777" w:rsidTr="001E3917">
        <w:tc>
          <w:tcPr>
            <w:tcW w:w="2376" w:type="dxa"/>
            <w:shd w:val="clear" w:color="auto" w:fill="auto"/>
          </w:tcPr>
          <w:p w14:paraId="31DD97E5"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Grad s manje od 30.000 stanovnika</w:t>
            </w:r>
          </w:p>
        </w:tc>
        <w:tc>
          <w:tcPr>
            <w:tcW w:w="2127" w:type="dxa"/>
            <w:shd w:val="clear" w:color="auto" w:fill="auto"/>
          </w:tcPr>
          <w:p w14:paraId="1D1900A3"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15% do 22,4%</w:t>
            </w:r>
          </w:p>
        </w:tc>
        <w:tc>
          <w:tcPr>
            <w:tcW w:w="1984" w:type="dxa"/>
            <w:shd w:val="clear" w:color="auto" w:fill="auto"/>
          </w:tcPr>
          <w:p w14:paraId="633A3BE3"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25% do 33,6%</w:t>
            </w:r>
          </w:p>
        </w:tc>
      </w:tr>
      <w:tr w:rsidR="00071BE3" w:rsidRPr="00DF3C92" w14:paraId="3C7D13E8" w14:textId="77777777" w:rsidTr="001E3917">
        <w:tc>
          <w:tcPr>
            <w:tcW w:w="2376" w:type="dxa"/>
            <w:shd w:val="clear" w:color="auto" w:fill="auto"/>
          </w:tcPr>
          <w:p w14:paraId="5F820B28"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Grad s više od 30.000 stanovnika</w:t>
            </w:r>
          </w:p>
        </w:tc>
        <w:tc>
          <w:tcPr>
            <w:tcW w:w="2127" w:type="dxa"/>
            <w:shd w:val="clear" w:color="auto" w:fill="auto"/>
          </w:tcPr>
          <w:p w14:paraId="1AF2E0AA"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15% do 23%</w:t>
            </w:r>
          </w:p>
        </w:tc>
        <w:tc>
          <w:tcPr>
            <w:tcW w:w="1984" w:type="dxa"/>
            <w:shd w:val="clear" w:color="auto" w:fill="auto"/>
          </w:tcPr>
          <w:p w14:paraId="72A19925"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25% do 34,5%</w:t>
            </w:r>
          </w:p>
        </w:tc>
      </w:tr>
      <w:tr w:rsidR="00071BE3" w:rsidRPr="00DF3C92" w14:paraId="563BA3E1" w14:textId="77777777" w:rsidTr="001E3917">
        <w:tc>
          <w:tcPr>
            <w:tcW w:w="2376" w:type="dxa"/>
            <w:shd w:val="clear" w:color="auto" w:fill="auto"/>
          </w:tcPr>
          <w:p w14:paraId="257181AD"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Grad Zagreb</w:t>
            </w:r>
          </w:p>
        </w:tc>
        <w:tc>
          <w:tcPr>
            <w:tcW w:w="2127" w:type="dxa"/>
            <w:shd w:val="clear" w:color="auto" w:fill="auto"/>
          </w:tcPr>
          <w:p w14:paraId="0E888DE3"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15% do 23,6%</w:t>
            </w:r>
          </w:p>
        </w:tc>
        <w:tc>
          <w:tcPr>
            <w:tcW w:w="1984" w:type="dxa"/>
            <w:shd w:val="clear" w:color="auto" w:fill="auto"/>
          </w:tcPr>
          <w:p w14:paraId="27B7EE3F" w14:textId="77777777" w:rsidR="00071BE3" w:rsidRPr="00DF3C92" w:rsidRDefault="00071BE3" w:rsidP="00071BE3">
            <w:pPr>
              <w:spacing w:after="0" w:line="240" w:lineRule="auto"/>
              <w:jc w:val="both"/>
              <w:rPr>
                <w:rFonts w:ascii="Arial" w:eastAsia="Times New Roman" w:hAnsi="Arial" w:cs="Arial"/>
              </w:rPr>
            </w:pPr>
            <w:r w:rsidRPr="00DF3C92">
              <w:rPr>
                <w:rFonts w:ascii="Arial" w:eastAsia="Times New Roman" w:hAnsi="Arial" w:cs="Arial"/>
              </w:rPr>
              <w:t>25% do 35,4%</w:t>
            </w:r>
          </w:p>
        </w:tc>
      </w:tr>
    </w:tbl>
    <w:p w14:paraId="490AC308" w14:textId="77777777" w:rsidR="00071BE3" w:rsidRPr="00071BE3" w:rsidRDefault="00071BE3" w:rsidP="00071BE3">
      <w:pPr>
        <w:spacing w:after="0" w:line="240" w:lineRule="auto"/>
        <w:ind w:firstLine="708"/>
        <w:jc w:val="both"/>
        <w:rPr>
          <w:rFonts w:ascii="Arial" w:eastAsia="Times New Roman" w:hAnsi="Arial" w:cs="Arial"/>
          <w:color w:val="000000"/>
        </w:rPr>
      </w:pPr>
    </w:p>
    <w:p w14:paraId="0A03CC8C" w14:textId="77777777" w:rsidR="00340F3C" w:rsidRDefault="00340F3C" w:rsidP="00071BE3">
      <w:pPr>
        <w:spacing w:after="0" w:line="240" w:lineRule="auto"/>
        <w:ind w:firstLine="720"/>
        <w:jc w:val="both"/>
        <w:rPr>
          <w:rFonts w:ascii="Arial" w:eastAsia="Times New Roman" w:hAnsi="Arial" w:cs="Arial"/>
        </w:rPr>
      </w:pPr>
    </w:p>
    <w:p w14:paraId="7EE37668" w14:textId="229A4252" w:rsidR="00D934DF" w:rsidRPr="007A19EA" w:rsidRDefault="0089334A" w:rsidP="00071BE3">
      <w:pPr>
        <w:spacing w:after="0" w:line="240" w:lineRule="auto"/>
        <w:ind w:firstLine="720"/>
        <w:jc w:val="both"/>
        <w:rPr>
          <w:rFonts w:ascii="Arial" w:hAnsi="Arial" w:cs="Arial"/>
          <w:shd w:val="clear" w:color="auto" w:fill="FFFFFF"/>
        </w:rPr>
      </w:pPr>
      <w:bookmarkStart w:id="0" w:name="_Hlk149294066"/>
      <w:r w:rsidRPr="007A19EA">
        <w:rPr>
          <w:rFonts w:ascii="Arial" w:hAnsi="Arial" w:cs="Arial"/>
          <w:shd w:val="clear" w:color="auto" w:fill="FFFFFF"/>
        </w:rPr>
        <w:t>Grad Sisak posljednjih je 10 godina</w:t>
      </w:r>
      <w:r w:rsidR="005409E8" w:rsidRPr="007A19EA">
        <w:rPr>
          <w:rFonts w:ascii="Arial" w:hAnsi="Arial" w:cs="Arial"/>
          <w:shd w:val="clear" w:color="auto" w:fill="FFFFFF"/>
        </w:rPr>
        <w:t xml:space="preserve"> značajno</w:t>
      </w:r>
      <w:r w:rsidRPr="007A19EA">
        <w:rPr>
          <w:rFonts w:ascii="Arial" w:hAnsi="Arial" w:cs="Arial"/>
          <w:shd w:val="clear" w:color="auto" w:fill="FFFFFF"/>
        </w:rPr>
        <w:t xml:space="preserve"> podigao društveni standard i napravio velike korake u razvoju društvenih usluga u brizi o osjetljivim skupinama, posebno djeci i mladima, ali i sportu. Prema podacima Ministarstva regionalnog razvoja i fondova EU i partnerskih organizacija, Sisak je među 5 najboljih hrvatskih gradova u kategoriji obrazovanja te demografije, socijalne politike i mladih.</w:t>
      </w:r>
    </w:p>
    <w:bookmarkEnd w:id="0"/>
    <w:p w14:paraId="3251517F" w14:textId="77777777" w:rsidR="00D934DF" w:rsidRPr="007A19EA" w:rsidRDefault="0089334A" w:rsidP="00071BE3">
      <w:pPr>
        <w:spacing w:after="0" w:line="240" w:lineRule="auto"/>
        <w:ind w:firstLine="720"/>
        <w:jc w:val="both"/>
        <w:rPr>
          <w:rFonts w:ascii="Arial" w:hAnsi="Arial" w:cs="Arial"/>
          <w:shd w:val="clear" w:color="auto" w:fill="FFFFFF"/>
        </w:rPr>
      </w:pPr>
      <w:r w:rsidRPr="007A19EA">
        <w:rPr>
          <w:rFonts w:ascii="Arial" w:hAnsi="Arial" w:cs="Arial"/>
          <w:shd w:val="clear" w:color="auto" w:fill="FFFFFF"/>
        </w:rPr>
        <w:t>Programi kojima se Sisak ističe u Republici Hrvatskoj obuhvaća velika vlastita ulaganja u programe poput</w:t>
      </w:r>
      <w:r w:rsidR="00D934DF" w:rsidRPr="007A19EA">
        <w:rPr>
          <w:rFonts w:ascii="Arial" w:hAnsi="Arial" w:cs="Arial"/>
          <w:shd w:val="clear" w:color="auto" w:fill="FFFFFF"/>
        </w:rPr>
        <w:t>:</w:t>
      </w:r>
    </w:p>
    <w:p w14:paraId="25E23A7C" w14:textId="77777777" w:rsidR="00D934DF" w:rsidRPr="007A19EA" w:rsidRDefault="0089334A"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produženog boravka u vrtićima i školama,</w:t>
      </w:r>
    </w:p>
    <w:p w14:paraId="2683C70D" w14:textId="6D927BA1"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ljetnog programa produženog boravka u školama,</w:t>
      </w:r>
    </w:p>
    <w:p w14:paraId="5F2D765D" w14:textId="77777777"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ljetovanja za svu djecu četvrtih razreda osnovnih škola svake godine u gradskom odmaralištu u Zaostrogu,</w:t>
      </w:r>
    </w:p>
    <w:p w14:paraId="7CC41E6A" w14:textId="59FD2B18"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đačk</w:t>
      </w:r>
      <w:r w:rsidR="004634DD" w:rsidRPr="007A19EA">
        <w:rPr>
          <w:rFonts w:ascii="Arial" w:hAnsi="Arial" w:cs="Arial"/>
          <w:shd w:val="clear" w:color="auto" w:fill="FFFFFF"/>
        </w:rPr>
        <w:t>og</w:t>
      </w:r>
      <w:r w:rsidRPr="007A19EA">
        <w:rPr>
          <w:rFonts w:ascii="Arial" w:hAnsi="Arial" w:cs="Arial"/>
          <w:shd w:val="clear" w:color="auto" w:fill="FFFFFF"/>
        </w:rPr>
        <w:t xml:space="preserve"> džeparc</w:t>
      </w:r>
      <w:r w:rsidR="004634DD" w:rsidRPr="007A19EA">
        <w:rPr>
          <w:rFonts w:ascii="Arial" w:hAnsi="Arial" w:cs="Arial"/>
          <w:shd w:val="clear" w:color="auto" w:fill="FFFFFF"/>
        </w:rPr>
        <w:t>a</w:t>
      </w:r>
      <w:r w:rsidRPr="007A19EA">
        <w:rPr>
          <w:rFonts w:ascii="Arial" w:hAnsi="Arial" w:cs="Arial"/>
          <w:shd w:val="clear" w:color="auto" w:fill="FFFFFF"/>
        </w:rPr>
        <w:t>,</w:t>
      </w:r>
    </w:p>
    <w:p w14:paraId="20A84B97" w14:textId="6912B8CB"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izgradnj</w:t>
      </w:r>
      <w:r w:rsidR="004634DD" w:rsidRPr="007A19EA">
        <w:rPr>
          <w:rFonts w:ascii="Arial" w:hAnsi="Arial" w:cs="Arial"/>
          <w:shd w:val="clear" w:color="auto" w:fill="FFFFFF"/>
        </w:rPr>
        <w:t>e</w:t>
      </w:r>
      <w:r w:rsidRPr="007A19EA">
        <w:rPr>
          <w:rFonts w:ascii="Arial" w:hAnsi="Arial" w:cs="Arial"/>
          <w:shd w:val="clear" w:color="auto" w:fill="FFFFFF"/>
        </w:rPr>
        <w:t xml:space="preserve"> i održavanj</w:t>
      </w:r>
      <w:r w:rsidR="004634DD" w:rsidRPr="007A19EA">
        <w:rPr>
          <w:rFonts w:ascii="Arial" w:hAnsi="Arial" w:cs="Arial"/>
          <w:shd w:val="clear" w:color="auto" w:fill="FFFFFF"/>
        </w:rPr>
        <w:t>a</w:t>
      </w:r>
      <w:r w:rsidRPr="007A19EA">
        <w:rPr>
          <w:rFonts w:ascii="Arial" w:hAnsi="Arial" w:cs="Arial"/>
          <w:shd w:val="clear" w:color="auto" w:fill="FFFFFF"/>
        </w:rPr>
        <w:t xml:space="preserve"> najboljeg mjesta u Hrvatskoj za sportove na ledu, Ledene dvorane Zibel,</w:t>
      </w:r>
    </w:p>
    <w:p w14:paraId="653FA20B" w14:textId="02D10132"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izgradnj</w:t>
      </w:r>
      <w:r w:rsidR="004634DD" w:rsidRPr="007A19EA">
        <w:rPr>
          <w:rFonts w:ascii="Arial" w:hAnsi="Arial" w:cs="Arial"/>
          <w:shd w:val="clear" w:color="auto" w:fill="FFFFFF"/>
        </w:rPr>
        <w:t>e</w:t>
      </w:r>
      <w:r w:rsidRPr="007A19EA">
        <w:rPr>
          <w:rFonts w:ascii="Arial" w:hAnsi="Arial" w:cs="Arial"/>
          <w:shd w:val="clear" w:color="auto" w:fill="FFFFFF"/>
        </w:rPr>
        <w:t xml:space="preserve"> i održavanj</w:t>
      </w:r>
      <w:r w:rsidR="004634DD" w:rsidRPr="007A19EA">
        <w:rPr>
          <w:rFonts w:ascii="Arial" w:hAnsi="Arial" w:cs="Arial"/>
          <w:shd w:val="clear" w:color="auto" w:fill="FFFFFF"/>
        </w:rPr>
        <w:t>a</w:t>
      </w:r>
      <w:r w:rsidRPr="007A19EA">
        <w:rPr>
          <w:rFonts w:ascii="Arial" w:hAnsi="Arial" w:cs="Arial"/>
          <w:shd w:val="clear" w:color="auto" w:fill="FFFFFF"/>
        </w:rPr>
        <w:t xml:space="preserve"> gradske sportske dvorane Zeleni brijeg,</w:t>
      </w:r>
    </w:p>
    <w:p w14:paraId="2895A40F" w14:textId="77777777"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škole klizanja, atletike, plivanja za sve učenike i vrtićku djecu,</w:t>
      </w:r>
    </w:p>
    <w:p w14:paraId="610C9F5B" w14:textId="31D4AF8F"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uvođenj</w:t>
      </w:r>
      <w:r w:rsidR="004634DD" w:rsidRPr="007A19EA">
        <w:rPr>
          <w:rFonts w:ascii="Arial" w:hAnsi="Arial" w:cs="Arial"/>
          <w:shd w:val="clear" w:color="auto" w:fill="FFFFFF"/>
        </w:rPr>
        <w:t>a</w:t>
      </w:r>
      <w:r w:rsidRPr="007A19EA">
        <w:rPr>
          <w:rFonts w:ascii="Arial" w:hAnsi="Arial" w:cs="Arial"/>
          <w:shd w:val="clear" w:color="auto" w:fill="FFFFFF"/>
        </w:rPr>
        <w:t xml:space="preserve"> uravnotežene i svakom djetetu prilagođene prehrane u vrtićima i školama po međunarodnom Healthy Meal Standardu,</w:t>
      </w:r>
    </w:p>
    <w:p w14:paraId="70B571F5" w14:textId="64F1A44B" w:rsidR="00D934DF" w:rsidRPr="007A19EA" w:rsidRDefault="00D934DF" w:rsidP="00D934DF">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izgradnj</w:t>
      </w:r>
      <w:r w:rsidR="004634DD" w:rsidRPr="007A19EA">
        <w:rPr>
          <w:rFonts w:ascii="Arial" w:hAnsi="Arial" w:cs="Arial"/>
          <w:shd w:val="clear" w:color="auto" w:fill="FFFFFF"/>
        </w:rPr>
        <w:t>e</w:t>
      </w:r>
      <w:r w:rsidRPr="007A19EA">
        <w:rPr>
          <w:rFonts w:ascii="Arial" w:hAnsi="Arial" w:cs="Arial"/>
          <w:shd w:val="clear" w:color="auto" w:fill="FFFFFF"/>
        </w:rPr>
        <w:t xml:space="preserve"> i održavanj</w:t>
      </w:r>
      <w:r w:rsidR="004634DD" w:rsidRPr="007A19EA">
        <w:rPr>
          <w:rFonts w:ascii="Arial" w:hAnsi="Arial" w:cs="Arial"/>
          <w:shd w:val="clear" w:color="auto" w:fill="FFFFFF"/>
        </w:rPr>
        <w:t>a</w:t>
      </w:r>
      <w:r w:rsidRPr="007A19EA">
        <w:rPr>
          <w:rFonts w:ascii="Arial" w:hAnsi="Arial" w:cs="Arial"/>
          <w:shd w:val="clear" w:color="auto" w:fill="FFFFFF"/>
        </w:rPr>
        <w:t xml:space="preserve"> novih vrtićkih kapaciteta – dogradnja i energetska obnova objekata Različak i Maslačak i izgradnja novog vrtića u Galdovu, djelomično financiranih iz EU izvora</w:t>
      </w:r>
      <w:r w:rsidR="004634DD" w:rsidRPr="007A19EA">
        <w:rPr>
          <w:rFonts w:ascii="Arial" w:hAnsi="Arial" w:cs="Arial"/>
          <w:shd w:val="clear" w:color="auto" w:fill="FFFFFF"/>
        </w:rPr>
        <w:t>,</w:t>
      </w:r>
      <w:r w:rsidRPr="007A19EA">
        <w:rPr>
          <w:rFonts w:ascii="Arial" w:hAnsi="Arial" w:cs="Arial"/>
          <w:shd w:val="clear" w:color="auto" w:fill="FFFFFF"/>
        </w:rPr>
        <w:t xml:space="preserve"> te rješavanje </w:t>
      </w:r>
      <w:r w:rsidR="00422F5E" w:rsidRPr="007A19EA">
        <w:rPr>
          <w:rFonts w:ascii="Arial" w:hAnsi="Arial" w:cs="Arial"/>
          <w:shd w:val="clear" w:color="auto" w:fill="FFFFFF"/>
        </w:rPr>
        <w:t>smještaja za sve roditelje koji svoju djecu trenutno žele upisati u dječje vrtiće u Sisku.</w:t>
      </w:r>
    </w:p>
    <w:p w14:paraId="0870C17F" w14:textId="77777777" w:rsidR="00D934DF" w:rsidRPr="007A19EA" w:rsidRDefault="00D934DF" w:rsidP="00D934DF">
      <w:pPr>
        <w:pStyle w:val="Odlomakpopisa"/>
        <w:spacing w:after="0" w:line="240" w:lineRule="auto"/>
        <w:jc w:val="both"/>
        <w:rPr>
          <w:rFonts w:ascii="Arial" w:hAnsi="Arial" w:cs="Arial"/>
          <w:shd w:val="clear" w:color="auto" w:fill="FFFFFF"/>
        </w:rPr>
      </w:pPr>
    </w:p>
    <w:p w14:paraId="6FBCBF16" w14:textId="3C2C1696" w:rsidR="003A4538" w:rsidRPr="007A19EA" w:rsidRDefault="00422F5E" w:rsidP="003153FD">
      <w:pPr>
        <w:spacing w:after="0" w:line="240" w:lineRule="auto"/>
        <w:jc w:val="both"/>
        <w:rPr>
          <w:rFonts w:ascii="Arial" w:hAnsi="Arial" w:cs="Arial"/>
          <w:shd w:val="clear" w:color="auto" w:fill="FFFFFF"/>
        </w:rPr>
      </w:pPr>
      <w:r w:rsidRPr="007A19EA">
        <w:rPr>
          <w:rFonts w:ascii="Arial" w:hAnsi="Arial" w:cs="Arial"/>
          <w:shd w:val="clear" w:color="auto" w:fill="FFFFFF"/>
        </w:rPr>
        <w:t>Ova odluka Grada Siska utemeljena je na</w:t>
      </w:r>
      <w:r w:rsidR="003153FD" w:rsidRPr="007A19EA">
        <w:rPr>
          <w:rFonts w:ascii="Arial" w:hAnsi="Arial" w:cs="Arial"/>
          <w:shd w:val="clear" w:color="auto" w:fill="FFFFFF"/>
        </w:rPr>
        <w:t xml:space="preserve"> sljedećim odrednicama</w:t>
      </w:r>
      <w:r w:rsidRPr="007A19EA">
        <w:rPr>
          <w:rFonts w:ascii="Arial" w:hAnsi="Arial" w:cs="Arial"/>
          <w:shd w:val="clear" w:color="auto" w:fill="FFFFFF"/>
        </w:rPr>
        <w:t>:</w:t>
      </w:r>
    </w:p>
    <w:p w14:paraId="350EACD5" w14:textId="6B6FD590" w:rsidR="003153FD" w:rsidRPr="007A19EA" w:rsidRDefault="00422F5E" w:rsidP="00422F5E">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 xml:space="preserve">Grad Sisak </w:t>
      </w:r>
      <w:r w:rsidR="005409E8" w:rsidRPr="007A19EA">
        <w:rPr>
          <w:rFonts w:ascii="Arial" w:hAnsi="Arial" w:cs="Arial"/>
          <w:shd w:val="clear" w:color="auto" w:fill="FFFFFF"/>
        </w:rPr>
        <w:t xml:space="preserve">želi ublažiti utjecaj </w:t>
      </w:r>
      <w:r w:rsidR="003153FD" w:rsidRPr="007A19EA">
        <w:rPr>
          <w:rFonts w:ascii="Arial" w:hAnsi="Arial" w:cs="Arial"/>
          <w:shd w:val="clear" w:color="auto" w:fill="FFFFFF"/>
        </w:rPr>
        <w:t>smanj</w:t>
      </w:r>
      <w:r w:rsidR="001E1547" w:rsidRPr="007A19EA">
        <w:rPr>
          <w:rFonts w:ascii="Arial" w:hAnsi="Arial" w:cs="Arial"/>
          <w:shd w:val="clear" w:color="auto" w:fill="FFFFFF"/>
        </w:rPr>
        <w:t>enj</w:t>
      </w:r>
      <w:r w:rsidR="005409E8" w:rsidRPr="007A19EA">
        <w:rPr>
          <w:rFonts w:ascii="Arial" w:hAnsi="Arial" w:cs="Arial"/>
          <w:shd w:val="clear" w:color="auto" w:fill="FFFFFF"/>
        </w:rPr>
        <w:t>a</w:t>
      </w:r>
      <w:r w:rsidR="001E1547" w:rsidRPr="007A19EA">
        <w:rPr>
          <w:rFonts w:ascii="Arial" w:hAnsi="Arial" w:cs="Arial"/>
          <w:shd w:val="clear" w:color="auto" w:fill="FFFFFF"/>
        </w:rPr>
        <w:t xml:space="preserve"> </w:t>
      </w:r>
      <w:r w:rsidRPr="007A19EA">
        <w:rPr>
          <w:rFonts w:ascii="Arial" w:hAnsi="Arial" w:cs="Arial"/>
          <w:shd w:val="clear" w:color="auto" w:fill="FFFFFF"/>
        </w:rPr>
        <w:t>porez</w:t>
      </w:r>
      <w:r w:rsidR="005409E8" w:rsidRPr="007A19EA">
        <w:rPr>
          <w:rFonts w:ascii="Arial" w:hAnsi="Arial" w:cs="Arial"/>
          <w:shd w:val="clear" w:color="auto" w:fill="FFFFFF"/>
        </w:rPr>
        <w:t>nih prihoda i</w:t>
      </w:r>
      <w:r w:rsidR="001E1547" w:rsidRPr="007A19EA">
        <w:rPr>
          <w:rFonts w:ascii="Arial" w:hAnsi="Arial" w:cs="Arial"/>
          <w:shd w:val="clear" w:color="auto" w:fill="FFFFFF"/>
        </w:rPr>
        <w:t xml:space="preserve"> unatoč nižim</w:t>
      </w:r>
      <w:r w:rsidR="003153FD" w:rsidRPr="007A19EA">
        <w:rPr>
          <w:rFonts w:ascii="Arial" w:hAnsi="Arial" w:cs="Arial"/>
          <w:shd w:val="clear" w:color="auto" w:fill="FFFFFF"/>
        </w:rPr>
        <w:t xml:space="preserve"> </w:t>
      </w:r>
      <w:r w:rsidR="001E1547" w:rsidRPr="007A19EA">
        <w:rPr>
          <w:rFonts w:ascii="Arial" w:hAnsi="Arial" w:cs="Arial"/>
          <w:shd w:val="clear" w:color="auto" w:fill="FFFFFF"/>
        </w:rPr>
        <w:t xml:space="preserve">poreznim </w:t>
      </w:r>
      <w:r w:rsidR="003153FD" w:rsidRPr="007A19EA">
        <w:rPr>
          <w:rFonts w:ascii="Arial" w:hAnsi="Arial" w:cs="Arial"/>
          <w:shd w:val="clear" w:color="auto" w:fill="FFFFFF"/>
        </w:rPr>
        <w:t>prihod</w:t>
      </w:r>
      <w:r w:rsidR="001E1547" w:rsidRPr="007A19EA">
        <w:rPr>
          <w:rFonts w:ascii="Arial" w:hAnsi="Arial" w:cs="Arial"/>
          <w:shd w:val="clear" w:color="auto" w:fill="FFFFFF"/>
        </w:rPr>
        <w:t xml:space="preserve">ima odlučan je nastaviti </w:t>
      </w:r>
      <w:r w:rsidR="003153FD" w:rsidRPr="007A19EA">
        <w:rPr>
          <w:rFonts w:ascii="Arial" w:hAnsi="Arial" w:cs="Arial"/>
          <w:shd w:val="clear" w:color="auto" w:fill="FFFFFF"/>
        </w:rPr>
        <w:t>unaprjeđ</w:t>
      </w:r>
      <w:r w:rsidR="001E1547" w:rsidRPr="007A19EA">
        <w:rPr>
          <w:rFonts w:ascii="Arial" w:hAnsi="Arial" w:cs="Arial"/>
          <w:shd w:val="clear" w:color="auto" w:fill="FFFFFF"/>
        </w:rPr>
        <w:t>ivati</w:t>
      </w:r>
      <w:r w:rsidR="003153FD" w:rsidRPr="007A19EA">
        <w:rPr>
          <w:rFonts w:ascii="Arial" w:hAnsi="Arial" w:cs="Arial"/>
          <w:shd w:val="clear" w:color="auto" w:fill="FFFFFF"/>
        </w:rPr>
        <w:t xml:space="preserve"> pružanj</w:t>
      </w:r>
      <w:r w:rsidR="001E1547" w:rsidRPr="007A19EA">
        <w:rPr>
          <w:rFonts w:ascii="Arial" w:hAnsi="Arial" w:cs="Arial"/>
          <w:shd w:val="clear" w:color="auto" w:fill="FFFFFF"/>
        </w:rPr>
        <w:t>e</w:t>
      </w:r>
      <w:r w:rsidR="003153FD" w:rsidRPr="007A19EA">
        <w:rPr>
          <w:rFonts w:ascii="Arial" w:hAnsi="Arial" w:cs="Arial"/>
          <w:shd w:val="clear" w:color="auto" w:fill="FFFFFF"/>
        </w:rPr>
        <w:t xml:space="preserve"> visoke razine društvenih usluga i ulaganja u komunalnu infrastrukturu</w:t>
      </w:r>
      <w:r w:rsidR="001E1547" w:rsidRPr="007A19EA">
        <w:rPr>
          <w:rFonts w:ascii="Arial" w:hAnsi="Arial" w:cs="Arial"/>
          <w:shd w:val="clear" w:color="auto" w:fill="FFFFFF"/>
        </w:rPr>
        <w:t>.</w:t>
      </w:r>
    </w:p>
    <w:p w14:paraId="101FE2D1" w14:textId="3CA96E34" w:rsidR="003A4538" w:rsidRPr="007A19EA" w:rsidRDefault="003153FD" w:rsidP="003153FD">
      <w:pPr>
        <w:pStyle w:val="Odlomakpopisa"/>
        <w:numPr>
          <w:ilvl w:val="0"/>
          <w:numId w:val="3"/>
        </w:numPr>
        <w:spacing w:after="0" w:line="240" w:lineRule="auto"/>
        <w:jc w:val="both"/>
        <w:rPr>
          <w:rFonts w:ascii="Arial" w:hAnsi="Arial" w:cs="Arial"/>
          <w:shd w:val="clear" w:color="auto" w:fill="FFFFFF"/>
        </w:rPr>
      </w:pPr>
      <w:r w:rsidRPr="007A19EA">
        <w:rPr>
          <w:rFonts w:ascii="Arial" w:hAnsi="Arial" w:cs="Arial"/>
          <w:shd w:val="clear" w:color="auto" w:fill="FFFFFF"/>
        </w:rPr>
        <w:t>Grad Sis</w:t>
      </w:r>
      <w:r w:rsidR="001E1547" w:rsidRPr="007A19EA">
        <w:rPr>
          <w:rFonts w:ascii="Arial" w:hAnsi="Arial" w:cs="Arial"/>
          <w:shd w:val="clear" w:color="auto" w:fill="FFFFFF"/>
        </w:rPr>
        <w:t>a</w:t>
      </w:r>
      <w:r w:rsidRPr="007A19EA">
        <w:rPr>
          <w:rFonts w:ascii="Arial" w:hAnsi="Arial" w:cs="Arial"/>
          <w:shd w:val="clear" w:color="auto" w:fill="FFFFFF"/>
        </w:rPr>
        <w:t xml:space="preserve">k odlučan je u nastavku osiguranja uvjeta za </w:t>
      </w:r>
      <w:r w:rsidR="00422F5E" w:rsidRPr="007A19EA">
        <w:rPr>
          <w:rFonts w:ascii="Arial" w:hAnsi="Arial" w:cs="Arial"/>
          <w:shd w:val="clear" w:color="auto" w:fill="FFFFFF"/>
        </w:rPr>
        <w:t>povećanj</w:t>
      </w:r>
      <w:r w:rsidRPr="007A19EA">
        <w:rPr>
          <w:rFonts w:ascii="Arial" w:hAnsi="Arial" w:cs="Arial"/>
          <w:shd w:val="clear" w:color="auto" w:fill="FFFFFF"/>
        </w:rPr>
        <w:t>e</w:t>
      </w:r>
      <w:r w:rsidR="00422F5E" w:rsidRPr="007A19EA">
        <w:rPr>
          <w:rFonts w:ascii="Arial" w:hAnsi="Arial" w:cs="Arial"/>
          <w:shd w:val="clear" w:color="auto" w:fill="FFFFFF"/>
        </w:rPr>
        <w:t xml:space="preserve"> prihoda i životnog standarda svih građana</w:t>
      </w:r>
      <w:r w:rsidRPr="007A19EA">
        <w:rPr>
          <w:rFonts w:ascii="Arial" w:hAnsi="Arial" w:cs="Arial"/>
          <w:shd w:val="clear" w:color="auto" w:fill="FFFFFF"/>
        </w:rPr>
        <w:t>.</w:t>
      </w:r>
    </w:p>
    <w:p w14:paraId="6421B2E4" w14:textId="77777777" w:rsidR="008D3404" w:rsidRDefault="008D3404" w:rsidP="003153FD">
      <w:pPr>
        <w:pStyle w:val="Odlomakpopisa"/>
        <w:spacing w:after="0" w:line="240" w:lineRule="auto"/>
        <w:jc w:val="both"/>
        <w:rPr>
          <w:rFonts w:ascii="Arial" w:hAnsi="Arial" w:cs="Arial"/>
          <w:shd w:val="clear" w:color="auto" w:fill="FFFFFF"/>
        </w:rPr>
      </w:pPr>
    </w:p>
    <w:p w14:paraId="1ECF342F" w14:textId="0A335ABA" w:rsidR="004E5EAD" w:rsidRPr="007A19EA" w:rsidRDefault="005409E8" w:rsidP="005409E8">
      <w:pPr>
        <w:spacing w:after="0" w:line="240" w:lineRule="auto"/>
        <w:ind w:firstLine="708"/>
        <w:jc w:val="both"/>
        <w:rPr>
          <w:rFonts w:ascii="Arial" w:hAnsi="Arial" w:cs="Arial"/>
          <w:shd w:val="clear" w:color="auto" w:fill="FFFFFF"/>
        </w:rPr>
      </w:pPr>
      <w:r w:rsidRPr="007A19EA">
        <w:rPr>
          <w:rFonts w:ascii="Arial" w:eastAsia="Calibri" w:hAnsi="Arial" w:cs="Arial"/>
        </w:rPr>
        <w:t xml:space="preserve">Predloženom nižom stopom poreza na dohodak u iznos od 23%, a  višom stopom od 34%, omogućit će se nastavak financiranja širokog spektra potreba građana - </w:t>
      </w:r>
      <w:r w:rsidRPr="007A19EA">
        <w:rPr>
          <w:rFonts w:ascii="Arial" w:eastAsia="Times New Roman" w:hAnsi="Arial" w:cs="Arial"/>
        </w:rPr>
        <w:t>od socijalne skrbi, predškolskog odgoja, osnovnog školstva, vatrogastva, kulture i sporta do komunalnog gospodarstva i prostornog planiranja. Istovremeno, građani će imati manje porezno opterećenje i veća neto primanja s obzirom na povećanja osobnog odbitka, zatim povećanih iznosa osobnih odbitaka uzdrža</w:t>
      </w:r>
      <w:r w:rsidR="004634DD" w:rsidRPr="007A19EA">
        <w:rPr>
          <w:rFonts w:ascii="Arial" w:eastAsia="Times New Roman" w:hAnsi="Arial" w:cs="Arial"/>
        </w:rPr>
        <w:t>va</w:t>
      </w:r>
      <w:r w:rsidRPr="007A19EA">
        <w:rPr>
          <w:rFonts w:ascii="Arial" w:eastAsia="Times New Roman" w:hAnsi="Arial" w:cs="Arial"/>
        </w:rPr>
        <w:t>nih članova te kroz smanjenje osnovice za mirovinsko osiguranje.</w:t>
      </w:r>
      <w:r w:rsidRPr="007A19EA">
        <w:rPr>
          <w:rFonts w:ascii="Arial" w:hAnsi="Arial" w:cs="Arial"/>
          <w:shd w:val="clear" w:color="auto" w:fill="FFFFFF"/>
        </w:rPr>
        <w:t xml:space="preserve"> Analize pokazuju da će povećanje mjesečnih prihoda većini građana biti između 5 i 30 €.</w:t>
      </w:r>
    </w:p>
    <w:sectPr w:rsidR="004E5EAD" w:rsidRPr="007A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514"/>
    <w:multiLevelType w:val="hybridMultilevel"/>
    <w:tmpl w:val="2B5A6C5C"/>
    <w:lvl w:ilvl="0" w:tplc="0FD816E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A97A46"/>
    <w:multiLevelType w:val="hybridMultilevel"/>
    <w:tmpl w:val="D958C87A"/>
    <w:lvl w:ilvl="0" w:tplc="33A81F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FA14F3"/>
    <w:multiLevelType w:val="hybridMultilevel"/>
    <w:tmpl w:val="E6A01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BF197A"/>
    <w:multiLevelType w:val="hybridMultilevel"/>
    <w:tmpl w:val="3F946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091663"/>
    <w:multiLevelType w:val="hybridMultilevel"/>
    <w:tmpl w:val="25407B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4564246">
    <w:abstractNumId w:val="0"/>
  </w:num>
  <w:num w:numId="2" w16cid:durableId="954025848">
    <w:abstractNumId w:val="4"/>
  </w:num>
  <w:num w:numId="3" w16cid:durableId="972633767">
    <w:abstractNumId w:val="2"/>
  </w:num>
  <w:num w:numId="4" w16cid:durableId="1983610120">
    <w:abstractNumId w:val="5"/>
  </w:num>
  <w:num w:numId="5" w16cid:durableId="785738912">
    <w:abstractNumId w:val="3"/>
  </w:num>
  <w:num w:numId="6" w16cid:durableId="115179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25"/>
    <w:rsid w:val="00071BE3"/>
    <w:rsid w:val="000943F2"/>
    <w:rsid w:val="00111425"/>
    <w:rsid w:val="00117E1A"/>
    <w:rsid w:val="001C4E87"/>
    <w:rsid w:val="001E1547"/>
    <w:rsid w:val="00214796"/>
    <w:rsid w:val="0024384E"/>
    <w:rsid w:val="00244A5B"/>
    <w:rsid w:val="00246173"/>
    <w:rsid w:val="00253145"/>
    <w:rsid w:val="00262DA7"/>
    <w:rsid w:val="00284D19"/>
    <w:rsid w:val="002923E7"/>
    <w:rsid w:val="002A5873"/>
    <w:rsid w:val="002B17E5"/>
    <w:rsid w:val="003153FD"/>
    <w:rsid w:val="00330E52"/>
    <w:rsid w:val="00340F3C"/>
    <w:rsid w:val="0034466A"/>
    <w:rsid w:val="003603D7"/>
    <w:rsid w:val="003A4538"/>
    <w:rsid w:val="003B3D75"/>
    <w:rsid w:val="003D4D08"/>
    <w:rsid w:val="00422F5E"/>
    <w:rsid w:val="004323C3"/>
    <w:rsid w:val="00450BA0"/>
    <w:rsid w:val="00455523"/>
    <w:rsid w:val="004634DD"/>
    <w:rsid w:val="004E5EAD"/>
    <w:rsid w:val="004F75E4"/>
    <w:rsid w:val="005409E8"/>
    <w:rsid w:val="00546E63"/>
    <w:rsid w:val="005D6AAA"/>
    <w:rsid w:val="006E3646"/>
    <w:rsid w:val="00726951"/>
    <w:rsid w:val="007A19EA"/>
    <w:rsid w:val="007F6115"/>
    <w:rsid w:val="00836BC7"/>
    <w:rsid w:val="00873539"/>
    <w:rsid w:val="008841C7"/>
    <w:rsid w:val="0089334A"/>
    <w:rsid w:val="008D3404"/>
    <w:rsid w:val="00950476"/>
    <w:rsid w:val="009D509F"/>
    <w:rsid w:val="009F105E"/>
    <w:rsid w:val="00A106E9"/>
    <w:rsid w:val="00A33EBA"/>
    <w:rsid w:val="00A35099"/>
    <w:rsid w:val="00AB380D"/>
    <w:rsid w:val="00AB52EB"/>
    <w:rsid w:val="00B00364"/>
    <w:rsid w:val="00C440B4"/>
    <w:rsid w:val="00CE7E78"/>
    <w:rsid w:val="00D520FF"/>
    <w:rsid w:val="00D900CD"/>
    <w:rsid w:val="00D934DF"/>
    <w:rsid w:val="00DF3C92"/>
    <w:rsid w:val="00E162B9"/>
    <w:rsid w:val="00E25F51"/>
    <w:rsid w:val="00E47DA1"/>
    <w:rsid w:val="00E548F0"/>
    <w:rsid w:val="00E85F46"/>
    <w:rsid w:val="00E91ED4"/>
    <w:rsid w:val="00EE172A"/>
    <w:rsid w:val="00EF4A9E"/>
    <w:rsid w:val="00FF3B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E2E"/>
  <w15:docId w15:val="{EB4EAB70-DA35-4ED5-B3E2-05240164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40B4"/>
    <w:pPr>
      <w:ind w:left="720"/>
      <w:contextualSpacing/>
    </w:pPr>
  </w:style>
  <w:style w:type="paragraph" w:styleId="Bezproreda">
    <w:name w:val="No Spacing"/>
    <w:uiPriority w:val="1"/>
    <w:qFormat/>
    <w:rsid w:val="004F7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9043">
      <w:bodyDiv w:val="1"/>
      <w:marLeft w:val="0"/>
      <w:marRight w:val="0"/>
      <w:marTop w:val="0"/>
      <w:marBottom w:val="0"/>
      <w:divBdr>
        <w:top w:val="none" w:sz="0" w:space="0" w:color="auto"/>
        <w:left w:val="none" w:sz="0" w:space="0" w:color="auto"/>
        <w:bottom w:val="none" w:sz="0" w:space="0" w:color="auto"/>
        <w:right w:val="none" w:sz="0" w:space="0" w:color="auto"/>
      </w:divBdr>
    </w:div>
    <w:div w:id="10495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66AA-8EE8-490C-8FF3-0F4B89AD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1619</Words>
  <Characters>9232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Osmančević</dc:creator>
  <cp:lastModifiedBy>Deana Petravić Sokol</cp:lastModifiedBy>
  <cp:revision>16</cp:revision>
  <cp:lastPrinted>2023-10-25T09:06:00Z</cp:lastPrinted>
  <dcterms:created xsi:type="dcterms:W3CDTF">2023-10-27T07:26:00Z</dcterms:created>
  <dcterms:modified xsi:type="dcterms:W3CDTF">2023-10-27T08:14:00Z</dcterms:modified>
</cp:coreProperties>
</file>