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7E93" w14:textId="5CD7D92E" w:rsidR="005B0986" w:rsidRPr="00E96086" w:rsidRDefault="005B0986" w:rsidP="00AC2B59">
      <w:pPr>
        <w:pStyle w:val="Opisslike"/>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7315"/>
      </w:tblGrid>
      <w:tr w:rsidR="005B0986" w:rsidRPr="000861CE" w14:paraId="26EE7B2F" w14:textId="77777777" w:rsidTr="000861CE">
        <w:trPr>
          <w:trHeight w:val="719"/>
        </w:trPr>
        <w:tc>
          <w:tcPr>
            <w:tcW w:w="9060" w:type="dxa"/>
            <w:gridSpan w:val="2"/>
            <w:tcBorders>
              <w:bottom w:val="single" w:sz="4" w:space="0" w:color="365F91"/>
            </w:tcBorders>
            <w:shd w:val="clear" w:color="auto" w:fill="B8CCE4"/>
            <w:vAlign w:val="center"/>
          </w:tcPr>
          <w:p w14:paraId="33702FAC" w14:textId="77777777" w:rsidR="00BF1045" w:rsidRPr="000861CE" w:rsidRDefault="00BF1045" w:rsidP="004E7031">
            <w:pPr>
              <w:spacing w:before="120" w:after="0" w:line="240" w:lineRule="auto"/>
              <w:jc w:val="center"/>
              <w:rPr>
                <w:rFonts w:ascii="Arial" w:hAnsi="Arial" w:cs="Arial"/>
                <w:b/>
                <w:bCs/>
              </w:rPr>
            </w:pPr>
          </w:p>
          <w:p w14:paraId="065CD2C0" w14:textId="5D84319D" w:rsidR="004E7031" w:rsidRPr="000861CE" w:rsidRDefault="005B0986" w:rsidP="004E7031">
            <w:pPr>
              <w:spacing w:before="120" w:after="0" w:line="240" w:lineRule="auto"/>
              <w:jc w:val="center"/>
              <w:rPr>
                <w:rFonts w:ascii="Arial" w:hAnsi="Arial" w:cs="Arial"/>
                <w:b/>
                <w:bCs/>
              </w:rPr>
            </w:pPr>
            <w:r w:rsidRPr="000861CE">
              <w:rPr>
                <w:rFonts w:ascii="Arial" w:hAnsi="Arial" w:cs="Arial"/>
                <w:b/>
                <w:bCs/>
              </w:rPr>
              <w:t>IZVJEŠĆE O SAVJETOVANJU S JAVNOŠĆU</w:t>
            </w:r>
            <w:r w:rsidR="004E7031" w:rsidRPr="000861CE">
              <w:rPr>
                <w:rFonts w:ascii="Arial" w:hAnsi="Arial" w:cs="Arial"/>
                <w:b/>
                <w:bCs/>
              </w:rPr>
              <w:t xml:space="preserve"> </w:t>
            </w:r>
            <w:r w:rsidRPr="000861CE">
              <w:rPr>
                <w:rFonts w:ascii="Arial" w:hAnsi="Arial" w:cs="Arial"/>
                <w:b/>
                <w:bCs/>
              </w:rPr>
              <w:t>U POSTUPKU DONOŠENJA</w:t>
            </w:r>
          </w:p>
          <w:p w14:paraId="17579B8A" w14:textId="5DA7B879" w:rsidR="005B0986" w:rsidRPr="000861CE" w:rsidRDefault="004E7031" w:rsidP="004E7031">
            <w:pPr>
              <w:spacing w:before="120" w:after="0" w:line="240" w:lineRule="auto"/>
              <w:jc w:val="center"/>
              <w:rPr>
                <w:rFonts w:ascii="Arial" w:hAnsi="Arial" w:cs="Arial"/>
                <w:b/>
                <w:bCs/>
              </w:rPr>
            </w:pPr>
            <w:r w:rsidRPr="000861CE">
              <w:rPr>
                <w:rFonts w:ascii="Arial" w:hAnsi="Arial" w:cs="Arial"/>
                <w:b/>
                <w:bCs/>
              </w:rPr>
              <w:t>Odluke o visini poreznih stopa godišnjeg poreza na dohodak na području Grada Siska</w:t>
            </w:r>
          </w:p>
          <w:p w14:paraId="6E6C5BBE" w14:textId="77777777" w:rsidR="004E7031" w:rsidRPr="000861CE" w:rsidRDefault="004E7031" w:rsidP="004E7031">
            <w:pPr>
              <w:spacing w:before="120" w:after="0" w:line="240" w:lineRule="auto"/>
              <w:jc w:val="center"/>
              <w:rPr>
                <w:rFonts w:ascii="Arial" w:hAnsi="Arial" w:cs="Arial"/>
                <w:b/>
                <w:bCs/>
              </w:rPr>
            </w:pPr>
          </w:p>
          <w:p w14:paraId="16F6A96B" w14:textId="2F2282CC" w:rsidR="005B0986" w:rsidRPr="000861CE" w:rsidRDefault="005B0986" w:rsidP="00941D1C">
            <w:pPr>
              <w:spacing w:after="0" w:line="240" w:lineRule="auto"/>
              <w:jc w:val="center"/>
              <w:rPr>
                <w:rFonts w:ascii="Arial" w:hAnsi="Arial" w:cs="Arial"/>
                <w:b/>
                <w:bCs/>
              </w:rPr>
            </w:pPr>
            <w:r w:rsidRPr="000861CE">
              <w:rPr>
                <w:rFonts w:ascii="Arial" w:hAnsi="Arial" w:cs="Arial"/>
                <w:b/>
                <w:bCs/>
              </w:rPr>
              <w:t xml:space="preserve">Nositelj izrade izvješća: </w:t>
            </w:r>
            <w:r w:rsidR="00EC7CFE" w:rsidRPr="000861CE">
              <w:rPr>
                <w:rFonts w:ascii="Arial" w:hAnsi="Arial" w:cs="Arial"/>
                <w:b/>
                <w:bCs/>
              </w:rPr>
              <w:t>Upravni odjel za proračun i financije</w:t>
            </w:r>
          </w:p>
          <w:p w14:paraId="4CE2CFE7" w14:textId="77777777" w:rsidR="00AC2B59" w:rsidRPr="000861CE" w:rsidRDefault="00AC2B59" w:rsidP="00941D1C">
            <w:pPr>
              <w:spacing w:after="0" w:line="240" w:lineRule="auto"/>
              <w:jc w:val="center"/>
              <w:rPr>
                <w:rFonts w:ascii="Arial" w:hAnsi="Arial" w:cs="Arial"/>
                <w:b/>
                <w:bCs/>
              </w:rPr>
            </w:pPr>
          </w:p>
          <w:p w14:paraId="7F95E628" w14:textId="5107DD06" w:rsidR="00DD6363" w:rsidRPr="000861CE" w:rsidRDefault="00DD6363" w:rsidP="00941D1C">
            <w:pPr>
              <w:spacing w:after="0" w:line="240" w:lineRule="auto"/>
              <w:jc w:val="center"/>
              <w:rPr>
                <w:rFonts w:ascii="Arial" w:hAnsi="Arial" w:cs="Arial"/>
                <w:b/>
                <w:bCs/>
              </w:rPr>
            </w:pPr>
            <w:r w:rsidRPr="000861CE">
              <w:rPr>
                <w:rFonts w:ascii="Arial" w:hAnsi="Arial" w:cs="Arial"/>
                <w:b/>
                <w:bCs/>
              </w:rPr>
              <w:t>Sisak, 28.</w:t>
            </w:r>
            <w:r w:rsidR="00786881" w:rsidRPr="000861CE">
              <w:rPr>
                <w:rFonts w:ascii="Arial" w:hAnsi="Arial" w:cs="Arial"/>
                <w:b/>
                <w:bCs/>
              </w:rPr>
              <w:t xml:space="preserve"> studenog </w:t>
            </w:r>
            <w:r w:rsidR="00AC2B59" w:rsidRPr="000861CE">
              <w:rPr>
                <w:rFonts w:ascii="Arial" w:hAnsi="Arial" w:cs="Arial"/>
                <w:b/>
                <w:bCs/>
              </w:rPr>
              <w:t>2023. godine</w:t>
            </w:r>
          </w:p>
          <w:p w14:paraId="73E4ADDA" w14:textId="10FB1114" w:rsidR="005B0986" w:rsidRPr="000861CE" w:rsidRDefault="005B0986" w:rsidP="00E96086">
            <w:pPr>
              <w:spacing w:after="120" w:line="240" w:lineRule="auto"/>
              <w:jc w:val="center"/>
              <w:rPr>
                <w:rFonts w:ascii="Arial" w:hAnsi="Arial" w:cs="Arial"/>
                <w:b/>
                <w:bCs/>
              </w:rPr>
            </w:pPr>
          </w:p>
        </w:tc>
      </w:tr>
      <w:tr w:rsidR="005B0986" w:rsidRPr="000861CE" w14:paraId="42ACF8A7" w14:textId="77777777" w:rsidTr="00CE01D0">
        <w:trPr>
          <w:trHeight w:val="777"/>
        </w:trPr>
        <w:tc>
          <w:tcPr>
            <w:tcW w:w="173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5F87EA3" w14:textId="77777777" w:rsidR="005B0986" w:rsidRPr="000861CE" w:rsidRDefault="005B0986" w:rsidP="00E96086">
            <w:pPr>
              <w:spacing w:beforeLines="60" w:before="144" w:afterLines="60" w:after="144" w:line="240" w:lineRule="auto"/>
              <w:rPr>
                <w:rFonts w:ascii="Arial" w:hAnsi="Arial" w:cs="Arial"/>
                <w:b/>
                <w:bCs/>
              </w:rPr>
            </w:pPr>
            <w:r w:rsidRPr="000861CE">
              <w:rPr>
                <w:rFonts w:ascii="Arial" w:hAnsi="Arial" w:cs="Arial"/>
                <w:b/>
                <w:bCs/>
              </w:rPr>
              <w:t xml:space="preserve">Naziv akta za koji je provedeno savjetovanje s javnošću </w:t>
            </w:r>
          </w:p>
        </w:tc>
        <w:tc>
          <w:tcPr>
            <w:tcW w:w="732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91EEE68" w14:textId="46337B83" w:rsidR="005B0986" w:rsidRPr="000861CE" w:rsidRDefault="007C38C6" w:rsidP="00E96086">
            <w:pPr>
              <w:spacing w:beforeLines="60" w:before="144" w:afterLines="60" w:after="144" w:line="240" w:lineRule="auto"/>
              <w:jc w:val="both"/>
              <w:rPr>
                <w:rFonts w:ascii="Arial" w:hAnsi="Arial" w:cs="Arial"/>
                <w:bCs/>
              </w:rPr>
            </w:pPr>
            <w:r w:rsidRPr="000861CE">
              <w:rPr>
                <w:rFonts w:ascii="Arial" w:hAnsi="Arial" w:cs="Arial"/>
                <w:bCs/>
              </w:rPr>
              <w:t>Odluk</w:t>
            </w:r>
            <w:r w:rsidRPr="000861CE">
              <w:rPr>
                <w:rFonts w:ascii="Arial" w:hAnsi="Arial" w:cs="Arial"/>
                <w:bCs/>
              </w:rPr>
              <w:t>a</w:t>
            </w:r>
            <w:r w:rsidRPr="000861CE">
              <w:rPr>
                <w:rFonts w:ascii="Arial" w:hAnsi="Arial" w:cs="Arial"/>
                <w:bCs/>
              </w:rPr>
              <w:t xml:space="preserve"> o visini poreznih stopa godišnjeg poreza na dohodak na području Grada Siska</w:t>
            </w:r>
          </w:p>
        </w:tc>
      </w:tr>
      <w:tr w:rsidR="005B0986" w:rsidRPr="000861CE" w14:paraId="32B68336" w14:textId="77777777" w:rsidTr="00CE01D0">
        <w:trPr>
          <w:trHeight w:val="831"/>
        </w:trPr>
        <w:tc>
          <w:tcPr>
            <w:tcW w:w="173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0CBF597" w14:textId="77777777" w:rsidR="005B0986" w:rsidRPr="000861CE" w:rsidRDefault="005B0986" w:rsidP="00E96086">
            <w:pPr>
              <w:spacing w:beforeLines="60" w:before="144" w:afterLines="60" w:after="144" w:line="240" w:lineRule="auto"/>
              <w:rPr>
                <w:rFonts w:ascii="Arial" w:hAnsi="Arial" w:cs="Arial"/>
                <w:b/>
                <w:bCs/>
              </w:rPr>
            </w:pPr>
            <w:r w:rsidRPr="000861CE">
              <w:rPr>
                <w:rFonts w:ascii="Arial" w:hAnsi="Arial" w:cs="Arial"/>
                <w:b/>
                <w:bCs/>
              </w:rPr>
              <w:t xml:space="preserve">Naziv tijela nadležnog za izradu nacrta / provedbu savjetovanja </w:t>
            </w:r>
          </w:p>
        </w:tc>
        <w:tc>
          <w:tcPr>
            <w:tcW w:w="732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B9949F2" w14:textId="12192E84" w:rsidR="005B0986" w:rsidRPr="000861CE" w:rsidRDefault="00B05625" w:rsidP="00E96086">
            <w:pPr>
              <w:spacing w:beforeLines="60" w:before="144" w:afterLines="60" w:after="144" w:line="240" w:lineRule="auto"/>
              <w:jc w:val="both"/>
              <w:rPr>
                <w:rFonts w:ascii="Arial" w:hAnsi="Arial" w:cs="Arial"/>
                <w:bCs/>
              </w:rPr>
            </w:pPr>
            <w:r w:rsidRPr="000861CE">
              <w:rPr>
                <w:rFonts w:ascii="Arial" w:hAnsi="Arial" w:cs="Arial"/>
                <w:bCs/>
              </w:rPr>
              <w:t>Upravni odjel za proračun i financije</w:t>
            </w:r>
          </w:p>
        </w:tc>
      </w:tr>
      <w:tr w:rsidR="000861CE" w:rsidRPr="000861CE" w14:paraId="66B0CA38" w14:textId="77777777" w:rsidTr="00CE01D0">
        <w:trPr>
          <w:trHeight w:val="1459"/>
        </w:trPr>
        <w:tc>
          <w:tcPr>
            <w:tcW w:w="1733" w:type="dxa"/>
            <w:tcBorders>
              <w:top w:val="single" w:sz="4" w:space="0" w:color="365F91"/>
              <w:left w:val="single" w:sz="4" w:space="0" w:color="365F91"/>
              <w:bottom w:val="single" w:sz="4" w:space="0" w:color="auto"/>
              <w:right w:val="single" w:sz="4" w:space="0" w:color="365F91"/>
            </w:tcBorders>
            <w:shd w:val="clear" w:color="auto" w:fill="auto"/>
          </w:tcPr>
          <w:p w14:paraId="1ED479BC" w14:textId="3ABAB150" w:rsidR="000861CE" w:rsidRPr="000861CE" w:rsidRDefault="008C255D" w:rsidP="000861CE">
            <w:pPr>
              <w:spacing w:beforeLines="60" w:before="144" w:afterLines="60" w:after="144" w:line="240" w:lineRule="auto"/>
              <w:rPr>
                <w:rFonts w:ascii="Arial" w:hAnsi="Arial" w:cs="Arial"/>
                <w:b/>
                <w:bCs/>
              </w:rPr>
            </w:pPr>
            <w:r w:rsidRPr="008C255D">
              <w:rPr>
                <w:rFonts w:ascii="Arial" w:hAnsi="Arial" w:cs="Arial"/>
                <w:b/>
                <w:bCs/>
              </w:rPr>
              <w:t>Razlozi za donošenje akta i ciljevi koji se njime žele postići uz sažetak ključnih pitanja</w:t>
            </w:r>
          </w:p>
        </w:tc>
        <w:tc>
          <w:tcPr>
            <w:tcW w:w="7327" w:type="dxa"/>
            <w:tcBorders>
              <w:top w:val="single" w:sz="4" w:space="0" w:color="365F91"/>
              <w:left w:val="single" w:sz="4" w:space="0" w:color="365F91"/>
              <w:bottom w:val="single" w:sz="4" w:space="0" w:color="365F91"/>
              <w:right w:val="single" w:sz="4" w:space="0" w:color="365F91"/>
            </w:tcBorders>
            <w:shd w:val="clear" w:color="auto" w:fill="auto"/>
          </w:tcPr>
          <w:p w14:paraId="406A1DF9"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 xml:space="preserve">Zakonom o izmjenama i dopuni Zakona o lokalnim porezima („Narodne novine“, broj 114/23), kojeg je Hrvatski sabor donio 28. rujna 2023. godine, ukinut je prirez porezu na dohodak kao jedan od poreza koje su, temeljem dosadašnjih odredbi Zakona o lokalnim porezima („Narodne novine“, broj 115/16, 101/17 i 114/22) mogle uvesti jedinice lokalne samouprave (gradovi i općine). Istoga dana donesen je i Zakon o izmjenama i dopunama Zakona o porezu na dohodak („Narodne novine“, broj 114/23), kojim su, pored ostalog, slijedom navedenog ukidanja prireza porezu na dohodak ukinute i odredbe dosadašnjeg Zakona o porezu na dohodak („Narodne novine“, broj 115/16, 106/18, 121/19, 32/20, 138/20 i 151/22), kojima je bilo propisano da se porez na dohodak uvećava za iznos prireza porezu na dohodak. </w:t>
            </w:r>
          </w:p>
          <w:p w14:paraId="5585DDAA" w14:textId="77777777" w:rsidR="000861CE" w:rsidRDefault="00CE01D0" w:rsidP="00CE01D0">
            <w:pPr>
              <w:spacing w:beforeLines="60" w:before="144" w:afterLines="60" w:after="144" w:line="240" w:lineRule="auto"/>
              <w:jc w:val="both"/>
              <w:rPr>
                <w:rFonts w:ascii="Arial" w:hAnsi="Arial" w:cs="Arial"/>
                <w:bCs/>
              </w:rPr>
            </w:pPr>
            <w:r w:rsidRPr="00CE01D0">
              <w:rPr>
                <w:rFonts w:ascii="Arial" w:hAnsi="Arial" w:cs="Arial"/>
                <w:bCs/>
              </w:rPr>
              <w:t>Prirez porezu na dohodak je vrijednosno značajan izvor prihoda jedinica lokalne samouprave, pri čemu su, sukladno dosadašnjim propisima jedinice lokalne samouprave odnosno gradovi i općine mogli samostalno odlučivati o njegovu uvođenju, kao i o visini stope prireza porezu na dohodak unutar zakonom propisanog raspona.</w:t>
            </w:r>
          </w:p>
          <w:p w14:paraId="46EC730D"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 xml:space="preserve">Kako bi se jedinicama lokalne samouprave nadoknadio značajan gubitak prihoda uslijed ukidanja prireza porezu na dohodak, odredbama izmijenjenog Zakona o porezu na dohodak („Narodne novine“, broj 115/16, 106/18, 121/19, 32/20, 138/20, 151/22 i 114/23) – dalje: Zakon, gradovima i općinama omogućeno je da svojim odlukama samostalno upravljaju visinom stopa poreza na dohodak odnosno da propišu visinu stope ovoga poreza u Zakonom utvrđenim granicama za godišnje dohotke (dohodak od nesamostalnog rada, samostalne djelatnosti i drugi dohodak koji se ne smatra konačnim), a u svrhu postizanja ciljane visine prihoda </w:t>
            </w:r>
            <w:r w:rsidRPr="00CE01D0">
              <w:rPr>
                <w:rFonts w:ascii="Arial" w:hAnsi="Arial" w:cs="Arial"/>
                <w:bCs/>
              </w:rPr>
              <w:lastRenderedPageBreak/>
              <w:t xml:space="preserve">potrebnih za nesmetano provođenje i ostvarivanje propisima utvrđenih poslova i zadataka jedinica lokalne samouprave. </w:t>
            </w:r>
          </w:p>
          <w:p w14:paraId="2F6ECBF3" w14:textId="4BAEDEC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Potrebno je napomenuti da su navedene zakonske izmjene donesene radi povećanja fiskalne autonomije jedinica lokalne samouprave u poreznim prihodima, kakvu ima većina zemalja u svijetu, pri čemu će lokalne jedinice moći samostalno, svojim odlukama, upravljati visinom poreznih stopa za godišnje dohotke koje ostvaruju fizičke osobe, a što je u skladu s Europskom poveljom o lokalnoj samoupravi. Naime, prema navedenoj Povelji najmanje dio prihoda lokalnih jedinica mora proizlaziti iz poreza i naknada, stope kojih, u granicama utvrđenim Zakonom, određuju same lokalne jedinice.</w:t>
            </w:r>
          </w:p>
          <w:p w14:paraId="35F735C6" w14:textId="77777777" w:rsid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Slijedom navedenog, člankom 19. a Zakona propisano je da visine poreznih stopa određuju predstavnička tijela jedinica lokalne samouprave svojom odlukom, pri čemu grad s više od 30.000 stanovnika (u koju kategoriju pripada i Sisak) nižu stopu propisuje u granicama od 15% do 23% te višu stopu u granicama od 25% do 34,50%. Sukladno odredbi članka 38. stavka 2. navedenog Zakona o izmjenama i dopunama Zakona o porezu na dohodak, jedinice lokalne samouprave, pa tako i Grad Sisak, dužne su navedenu odluku o visini poreznih stopa godišnjeg poreza na dohodak donijeti i objaviti do kraja 2023. godine, pri čemu sama odluka stupa na snagu 1. siječnja 2024. godine.</w:t>
            </w:r>
          </w:p>
          <w:p w14:paraId="12CB7789"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Pored ukidanja prireza porezu na dohodak, Zakonom su u odnosu na godišnje dohotke utvrđene i slijedeće promjene:</w:t>
            </w:r>
          </w:p>
          <w:p w14:paraId="22B5781F"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w:t>
            </w:r>
            <w:r w:rsidRPr="00CE01D0">
              <w:rPr>
                <w:rFonts w:ascii="Arial" w:hAnsi="Arial" w:cs="Arial"/>
                <w:bCs/>
              </w:rPr>
              <w:tab/>
              <w:t>povećan je iznos mjesečnog osnovnog osobnog odbitka sa sadašnjih 530,90 eura na 560,00 eura (povećanje za 5,5%) te su povećani iznosi osobnog odbitka za uzdržavane članove obitelji i djecu (povećanje u prosjeku za 27,7%) te invalidnost (povećanje u prosjeku za 19,5%),</w:t>
            </w:r>
          </w:p>
          <w:p w14:paraId="477C3E9B" w14:textId="3A0A9E06"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w:t>
            </w:r>
            <w:r w:rsidRPr="00CE01D0">
              <w:rPr>
                <w:rFonts w:ascii="Arial" w:hAnsi="Arial" w:cs="Arial"/>
                <w:bCs/>
              </w:rPr>
              <w:tab/>
              <w:t>povećanje iznosa mjesečne porezne osnovice na koju se obračunava niža stopa poreza (sada je niža stopa 20%) sa sadašnjih 3.981,69 eura na 4.200,00 eura (povećanje za 5,5%), odnosno povećanje godišnje porezne osnovice s 47.780,28 eura na 50.400,00 eura.</w:t>
            </w:r>
          </w:p>
          <w:p w14:paraId="6E22395B" w14:textId="445D1E3A"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Citiranim promjenama smanjit će se porezno opterećenje i povećati neto primanja odnosno raspoloživi dohodak poreznih obveznika.</w:t>
            </w:r>
          </w:p>
          <w:p w14:paraId="31FF39FE"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 xml:space="preserve">Međutim, navedenim izmjenama zakonskih propisa posljedično će se smanjiti prihodi od poreza i prireza na dohodak Grada Siska. Naime, povećanje osobnih odbitaka izravno utječe na smanjenje porezne osnovice za obračun poreza na dohodak, no najveće smanjenje prihoda očekuje se zbog ukidanja prireza porezu na dohodak koji se naplaćuje po stopi od 10%. </w:t>
            </w:r>
          </w:p>
          <w:p w14:paraId="27608856"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 xml:space="preserve">Analizom podataka o uplaćenom porezu na dohodak, osobnim odbicima utvrđeno je da više od 50% (polovice) zaposlenih građana ne plaća porez niti prirez (porezna osnovica je 0,00 €), dok ostali, manje od 50% (polovice) zaposlenih plaća porez na dohodak po nižoj stopi od 20% + prirez, a tek nekolicina koja ne čini niti 0,3% zaposlenih plaća porez na dohodak po višoj stopi od 30% + prirez. </w:t>
            </w:r>
          </w:p>
          <w:p w14:paraId="4392F2AA" w14:textId="77777777" w:rsid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 xml:space="preserve">Također, prema Zakonu o financiranju jedinica lokalne i područne samouprave („Narodne novine“, broj 127/17, 138/20, 151/22 i 114/23), prihod od poreza na dohodak je zajednički prihod koji se dijeli između općina odnosno gradova i županija. Konkretno, trenutno od ostvarenog prihoda od poreza na dohodak na području Grada Siska, Gradu Sisku </w:t>
            </w:r>
            <w:r w:rsidRPr="00CE01D0">
              <w:rPr>
                <w:rFonts w:ascii="Arial" w:hAnsi="Arial" w:cs="Arial"/>
                <w:bCs/>
              </w:rPr>
              <w:lastRenderedPageBreak/>
              <w:t>pripada udio od 76,9% naplaćenog poreza, a Sisačko-moslavačkoj županiji 23,1% naplaćenog poreza. Pritom naplaćeni prirez porezu na dohodak u cijelosti pripada Gradu Sisku jer se radi o lokalnom porezu. Međutim, ukidanjem prireza na dohodak i određivanjem „novih“ stopa poreza na dohodak (više i niže stope), navedeni prihod od poreza na dohodak koji će se ostvarivati biti će dijeljen između Grada Siska i Sisačko-moslavačke županije po prethodno navedenim omjerima, s obzirom da se Zakonom o izmjenama Zakona o financiranju jedinica lokalne i područne samouprave („Narodne novine“, broj 114/23) ne mijenjaju udjeli u raspodjeli poreza na dohodak. Stoga je i ta činjenica razlog zašto neće biti moguće u cijelosti nadoknaditi gubitak poreznih prihoda.</w:t>
            </w:r>
          </w:p>
          <w:p w14:paraId="7CFBF5B0"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Grad Sisak posljednjih je 10 godina značajno podigao društveni standard i napravio velike korake u razvoju društvenih usluga u brizi o osjetljivim skupinama, posebno djeci i mladima, ali i sportu. Prema podacima Ministarstva regionalnog razvoja i fondova EU i partnerskih organizacija, Sisak je među 5 najboljih hrvatskih gradova u kategoriji obrazovanja te demografije, socijalne politike i mladih.</w:t>
            </w:r>
          </w:p>
          <w:p w14:paraId="690D5A8B"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Programi kojima se Sisak ističe u Republici Hrvatskoj obuhvaća velika vlastita ulaganja u programe poput:</w:t>
            </w:r>
          </w:p>
          <w:p w14:paraId="40577F35"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w:t>
            </w:r>
            <w:r w:rsidRPr="00CE01D0">
              <w:rPr>
                <w:rFonts w:ascii="Arial" w:hAnsi="Arial" w:cs="Arial"/>
                <w:bCs/>
              </w:rPr>
              <w:tab/>
              <w:t>produženog boravka u vrtićima i školama,</w:t>
            </w:r>
          </w:p>
          <w:p w14:paraId="77B7DFA1"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w:t>
            </w:r>
            <w:r w:rsidRPr="00CE01D0">
              <w:rPr>
                <w:rFonts w:ascii="Arial" w:hAnsi="Arial" w:cs="Arial"/>
                <w:bCs/>
              </w:rPr>
              <w:tab/>
              <w:t>ljetnog programa produženog boravka u školama,</w:t>
            </w:r>
          </w:p>
          <w:p w14:paraId="640B1959"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w:t>
            </w:r>
            <w:r w:rsidRPr="00CE01D0">
              <w:rPr>
                <w:rFonts w:ascii="Arial" w:hAnsi="Arial" w:cs="Arial"/>
                <w:bCs/>
              </w:rPr>
              <w:tab/>
              <w:t>ljetovanja za svu djecu četvrtih razreda osnovnih škola svake godine u gradskom odmaralištu u Zaostrogu,</w:t>
            </w:r>
          </w:p>
          <w:p w14:paraId="18D860E6"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w:t>
            </w:r>
            <w:r w:rsidRPr="00CE01D0">
              <w:rPr>
                <w:rFonts w:ascii="Arial" w:hAnsi="Arial" w:cs="Arial"/>
                <w:bCs/>
              </w:rPr>
              <w:tab/>
              <w:t>đačkog džeparca,</w:t>
            </w:r>
          </w:p>
          <w:p w14:paraId="400A0ACE"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w:t>
            </w:r>
            <w:r w:rsidRPr="00CE01D0">
              <w:rPr>
                <w:rFonts w:ascii="Arial" w:hAnsi="Arial" w:cs="Arial"/>
                <w:bCs/>
              </w:rPr>
              <w:tab/>
              <w:t>izgradnje i održavanja najboljeg mjesta u Hrvatskoj za sportove na ledu, Ledene dvorane Zibel,</w:t>
            </w:r>
          </w:p>
          <w:p w14:paraId="5C4D63F7"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w:t>
            </w:r>
            <w:r w:rsidRPr="00CE01D0">
              <w:rPr>
                <w:rFonts w:ascii="Arial" w:hAnsi="Arial" w:cs="Arial"/>
                <w:bCs/>
              </w:rPr>
              <w:tab/>
              <w:t>izgradnje i održavanja gradske sportske dvorane Zeleni brijeg,</w:t>
            </w:r>
          </w:p>
          <w:p w14:paraId="2000E07C"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w:t>
            </w:r>
            <w:r w:rsidRPr="00CE01D0">
              <w:rPr>
                <w:rFonts w:ascii="Arial" w:hAnsi="Arial" w:cs="Arial"/>
                <w:bCs/>
              </w:rPr>
              <w:tab/>
              <w:t>škole klizanja, atletike, plivanja za sve učenike i vrtićku djecu,</w:t>
            </w:r>
          </w:p>
          <w:p w14:paraId="5CB0C226"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w:t>
            </w:r>
            <w:r w:rsidRPr="00CE01D0">
              <w:rPr>
                <w:rFonts w:ascii="Arial" w:hAnsi="Arial" w:cs="Arial"/>
                <w:bCs/>
              </w:rPr>
              <w:tab/>
              <w:t>uvođenja uravnotežene i svakom djetetu prilagođene prehrane u vrtićima i školama po međunarodnom Healthy Meal Standardu,</w:t>
            </w:r>
          </w:p>
          <w:p w14:paraId="34FF42B1" w14:textId="2406CF8F"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w:t>
            </w:r>
            <w:r w:rsidRPr="00CE01D0">
              <w:rPr>
                <w:rFonts w:ascii="Arial" w:hAnsi="Arial" w:cs="Arial"/>
                <w:bCs/>
              </w:rPr>
              <w:tab/>
              <w:t>izgradnje i održavanja novih vrtićkih kapaciteta – dogradnja i energetska obnova objekata Različak i Maslačak i izgradnja novog vrtića u Galdovu, djelomično financiranih iz EU izvora, te rješavanje smještaja za sve roditelje koji svoju djecu trenutno žele upisati u dječje vrtiće u Sisku.</w:t>
            </w:r>
          </w:p>
          <w:p w14:paraId="3FAE5B90"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Ova odluka Grada Siska utemeljena je na sljedećim odrednicama:</w:t>
            </w:r>
          </w:p>
          <w:p w14:paraId="1EFB864C" w14:textId="77777777"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w:t>
            </w:r>
            <w:r w:rsidRPr="00CE01D0">
              <w:rPr>
                <w:rFonts w:ascii="Arial" w:hAnsi="Arial" w:cs="Arial"/>
                <w:bCs/>
              </w:rPr>
              <w:tab/>
              <w:t>Grad Sisak želi ublažiti utjecaj smanjenja poreznih prihoda i unatoč nižim poreznim prihodima odlučan je nastaviti unaprjeđivati pružanje visoke razine društvenih usluga i ulaganja u komunalnu infrastrukturu.</w:t>
            </w:r>
          </w:p>
          <w:p w14:paraId="05571229" w14:textId="345558C6" w:rsidR="00CE01D0" w:rsidRPr="00CE01D0" w:rsidRDefault="00CE01D0" w:rsidP="00CE01D0">
            <w:pPr>
              <w:spacing w:beforeLines="60" w:before="144" w:afterLines="60" w:after="144" w:line="240" w:lineRule="auto"/>
              <w:jc w:val="both"/>
              <w:rPr>
                <w:rFonts w:ascii="Arial" w:hAnsi="Arial" w:cs="Arial"/>
                <w:bCs/>
              </w:rPr>
            </w:pPr>
            <w:r w:rsidRPr="00CE01D0">
              <w:rPr>
                <w:rFonts w:ascii="Arial" w:hAnsi="Arial" w:cs="Arial"/>
                <w:bCs/>
              </w:rPr>
              <w:t>-</w:t>
            </w:r>
            <w:r w:rsidRPr="00CE01D0">
              <w:rPr>
                <w:rFonts w:ascii="Arial" w:hAnsi="Arial" w:cs="Arial"/>
                <w:bCs/>
              </w:rPr>
              <w:tab/>
              <w:t>Grad Sisak odlučan je u nastavku osiguranja uvjeta za povećanje prihoda i životnog standarda svih građana.</w:t>
            </w:r>
          </w:p>
          <w:p w14:paraId="584EEB96" w14:textId="78605E19" w:rsidR="00CE01D0" w:rsidRPr="000861CE" w:rsidRDefault="00CE01D0" w:rsidP="00CE01D0">
            <w:pPr>
              <w:spacing w:beforeLines="60" w:before="144" w:afterLines="60" w:after="144" w:line="240" w:lineRule="auto"/>
              <w:jc w:val="both"/>
              <w:rPr>
                <w:rFonts w:ascii="Arial" w:hAnsi="Arial" w:cs="Arial"/>
                <w:bCs/>
              </w:rPr>
            </w:pPr>
            <w:r w:rsidRPr="00CE01D0">
              <w:rPr>
                <w:rFonts w:ascii="Arial" w:hAnsi="Arial" w:cs="Arial"/>
                <w:bCs/>
              </w:rPr>
              <w:t xml:space="preserve">Predloženom nižom stopom poreza na dohodak u iznos od 23%, a  višom stopom od 34%, omogućit će se nastavak financiranja širokog spektra potreba građana - od socijalne skrbi, predškolskog odgoja, osnovnog školstva, vatrogastva, kulture i sporta do komunalnog gospodarstva i </w:t>
            </w:r>
            <w:r w:rsidRPr="00CE01D0">
              <w:rPr>
                <w:rFonts w:ascii="Arial" w:hAnsi="Arial" w:cs="Arial"/>
                <w:bCs/>
              </w:rPr>
              <w:lastRenderedPageBreak/>
              <w:t>prostornog planiranja. Istovremeno, građani će imati manje porezno opterećenje i veća neto primanja s obzirom na povećanja osobnog odbitka, zatim povećanih iznosa osobnih odbitaka uzdržavanih članova te kroz smanjenje osnovice za mirovinsko osiguranje. Analize pokazuju da će povećanje mjesečnih prihoda većini građana biti između 5 i 30 €.</w:t>
            </w:r>
          </w:p>
        </w:tc>
      </w:tr>
      <w:tr w:rsidR="005B0986" w:rsidRPr="000861CE" w14:paraId="366C5695" w14:textId="77777777" w:rsidTr="00CE01D0">
        <w:trPr>
          <w:trHeight w:val="525"/>
        </w:trPr>
        <w:tc>
          <w:tcPr>
            <w:tcW w:w="1733" w:type="dxa"/>
            <w:tcBorders>
              <w:top w:val="single" w:sz="4" w:space="0" w:color="auto"/>
              <w:left w:val="single" w:sz="4" w:space="0" w:color="365F91"/>
              <w:bottom w:val="single" w:sz="4" w:space="0" w:color="auto"/>
              <w:right w:val="single" w:sz="4" w:space="0" w:color="365F91"/>
            </w:tcBorders>
            <w:shd w:val="clear" w:color="auto" w:fill="auto"/>
            <w:vAlign w:val="center"/>
          </w:tcPr>
          <w:p w14:paraId="14C3AA4D" w14:textId="6333B4F2" w:rsidR="005B0986" w:rsidRPr="000861CE" w:rsidRDefault="005B0986" w:rsidP="00E96086">
            <w:pPr>
              <w:spacing w:beforeLines="60" w:before="144" w:afterLines="60" w:after="144" w:line="240" w:lineRule="auto"/>
              <w:rPr>
                <w:rFonts w:ascii="Arial" w:hAnsi="Arial" w:cs="Arial"/>
                <w:b/>
                <w:bCs/>
              </w:rPr>
            </w:pPr>
            <w:r w:rsidRPr="000861CE">
              <w:rPr>
                <w:rFonts w:ascii="Arial" w:hAnsi="Arial" w:cs="Arial"/>
                <w:b/>
                <w:bCs/>
              </w:rPr>
              <w:lastRenderedPageBreak/>
              <w:t>Objava dokumenata za savjetovanje</w:t>
            </w:r>
            <w:r w:rsidR="00F742DA" w:rsidRPr="000861CE">
              <w:rPr>
                <w:rFonts w:ascii="Arial" w:hAnsi="Arial" w:cs="Arial"/>
                <w:b/>
                <w:bCs/>
              </w:rPr>
              <w:t xml:space="preserve"> </w:t>
            </w:r>
          </w:p>
        </w:tc>
        <w:tc>
          <w:tcPr>
            <w:tcW w:w="732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6055A77" w14:textId="376080BB" w:rsidR="005B0986" w:rsidRPr="000861CE" w:rsidRDefault="007C38C6" w:rsidP="007C38C6">
            <w:pPr>
              <w:spacing w:beforeLines="60" w:before="144" w:afterLines="60" w:after="144" w:line="240" w:lineRule="auto"/>
              <w:jc w:val="both"/>
              <w:rPr>
                <w:rFonts w:ascii="Arial" w:hAnsi="Arial" w:cs="Arial"/>
                <w:bCs/>
              </w:rPr>
            </w:pPr>
            <w:r w:rsidRPr="000861CE">
              <w:rPr>
                <w:rFonts w:ascii="Arial" w:hAnsi="Arial" w:cs="Arial"/>
                <w:bCs/>
              </w:rPr>
              <w:t>https://sisak.hr/odluka-o-visini-poreznih-stopa-godisnjeg-poreza-na-dohodak-na-podrucju-grada-siska/</w:t>
            </w:r>
          </w:p>
        </w:tc>
      </w:tr>
      <w:tr w:rsidR="005B0986" w:rsidRPr="000861CE" w14:paraId="05945D96" w14:textId="77777777" w:rsidTr="00CE01D0">
        <w:trPr>
          <w:trHeight w:val="692"/>
        </w:trPr>
        <w:tc>
          <w:tcPr>
            <w:tcW w:w="1733" w:type="dxa"/>
            <w:tcBorders>
              <w:top w:val="single" w:sz="4" w:space="0" w:color="auto"/>
              <w:left w:val="single" w:sz="4" w:space="0" w:color="365F91"/>
              <w:bottom w:val="single" w:sz="4" w:space="0" w:color="365F91"/>
              <w:right w:val="single" w:sz="4" w:space="0" w:color="365F91"/>
            </w:tcBorders>
            <w:shd w:val="clear" w:color="auto" w:fill="auto"/>
            <w:vAlign w:val="center"/>
          </w:tcPr>
          <w:p w14:paraId="75425350" w14:textId="0296AD88" w:rsidR="005B0986" w:rsidRPr="000861CE" w:rsidRDefault="00E96086" w:rsidP="00E96086">
            <w:pPr>
              <w:spacing w:beforeLines="60" w:before="144" w:afterLines="60" w:after="144" w:line="240" w:lineRule="auto"/>
              <w:rPr>
                <w:rFonts w:ascii="Arial" w:hAnsi="Arial" w:cs="Arial"/>
                <w:b/>
                <w:bCs/>
              </w:rPr>
            </w:pPr>
            <w:r w:rsidRPr="000861CE">
              <w:rPr>
                <w:rFonts w:ascii="Arial" w:hAnsi="Arial" w:cs="Arial"/>
                <w:b/>
                <w:bCs/>
              </w:rPr>
              <w:t>Raz</w:t>
            </w:r>
            <w:r w:rsidR="00B05625" w:rsidRPr="000861CE">
              <w:rPr>
                <w:rFonts w:ascii="Arial" w:hAnsi="Arial" w:cs="Arial"/>
                <w:b/>
                <w:bCs/>
              </w:rPr>
              <w:t>d</w:t>
            </w:r>
            <w:r w:rsidRPr="000861CE">
              <w:rPr>
                <w:rFonts w:ascii="Arial" w:hAnsi="Arial" w:cs="Arial"/>
                <w:b/>
                <w:bCs/>
              </w:rPr>
              <w:t xml:space="preserve">oblje provedbe savjetovanja </w:t>
            </w:r>
          </w:p>
        </w:tc>
        <w:tc>
          <w:tcPr>
            <w:tcW w:w="7327" w:type="dxa"/>
            <w:tcBorders>
              <w:top w:val="single" w:sz="4" w:space="0" w:color="365F91"/>
              <w:left w:val="single" w:sz="4" w:space="0" w:color="365F91"/>
              <w:right w:val="single" w:sz="4" w:space="0" w:color="365F91"/>
            </w:tcBorders>
            <w:shd w:val="clear" w:color="auto" w:fill="auto"/>
            <w:vAlign w:val="center"/>
          </w:tcPr>
          <w:p w14:paraId="3990DDA9" w14:textId="666E32BD" w:rsidR="005B0986" w:rsidRPr="000861CE" w:rsidRDefault="00786881" w:rsidP="00786881">
            <w:pPr>
              <w:spacing w:beforeLines="60" w:before="144" w:afterLines="60" w:after="144" w:line="240" w:lineRule="auto"/>
              <w:rPr>
                <w:rFonts w:ascii="Arial" w:hAnsi="Arial" w:cs="Arial"/>
                <w:bCs/>
              </w:rPr>
            </w:pPr>
            <w:r w:rsidRPr="000861CE">
              <w:rPr>
                <w:rFonts w:ascii="Arial" w:hAnsi="Arial" w:cs="Arial"/>
                <w:bCs/>
              </w:rPr>
              <w:t>27.10. 2023. – 26.11. 2023.</w:t>
            </w:r>
          </w:p>
        </w:tc>
      </w:tr>
      <w:tr w:rsidR="005B0986" w:rsidRPr="000861CE" w14:paraId="74D3580F" w14:textId="77777777" w:rsidTr="00CE01D0">
        <w:trPr>
          <w:trHeight w:val="697"/>
        </w:trPr>
        <w:tc>
          <w:tcPr>
            <w:tcW w:w="173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7D6F805" w14:textId="77777777" w:rsidR="005B0986" w:rsidRPr="000861CE" w:rsidRDefault="005B0986" w:rsidP="00E96086">
            <w:pPr>
              <w:spacing w:beforeLines="60" w:before="144" w:afterLines="60" w:after="144" w:line="240" w:lineRule="auto"/>
              <w:rPr>
                <w:rFonts w:ascii="Arial" w:hAnsi="Arial" w:cs="Arial"/>
                <w:b/>
                <w:bCs/>
              </w:rPr>
            </w:pPr>
            <w:r w:rsidRPr="000861CE">
              <w:rPr>
                <w:rFonts w:ascii="Arial" w:hAnsi="Arial" w:cs="Arial"/>
                <w:b/>
                <w:bCs/>
              </w:rPr>
              <w:t xml:space="preserve">Pregled osnovnih pokazatelja  uključenosti savjetovanja s javnošću </w:t>
            </w:r>
          </w:p>
        </w:tc>
        <w:tc>
          <w:tcPr>
            <w:tcW w:w="732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CF597F4" w14:textId="1995C44A" w:rsidR="005B0986" w:rsidRPr="000861CE" w:rsidRDefault="00736223" w:rsidP="00736223">
            <w:pPr>
              <w:spacing w:beforeLines="60" w:before="144" w:afterLines="60" w:after="144" w:line="240" w:lineRule="auto"/>
              <w:jc w:val="both"/>
              <w:rPr>
                <w:rFonts w:ascii="Arial" w:hAnsi="Arial" w:cs="Arial"/>
                <w:bCs/>
              </w:rPr>
            </w:pPr>
            <w:r w:rsidRPr="000861CE">
              <w:rPr>
                <w:rFonts w:ascii="Arial" w:hAnsi="Arial" w:cs="Arial"/>
                <w:bCs/>
              </w:rPr>
              <w:t>Tijekom trajanja savjetovanja s javnošću nije pristiglo niti jedno mišljenje, primjedba odnosno prijedlog na predmetni akt</w:t>
            </w:r>
          </w:p>
        </w:tc>
      </w:tr>
      <w:tr w:rsidR="005B0986" w:rsidRPr="000861CE" w14:paraId="540AC297" w14:textId="77777777" w:rsidTr="00CE01D0">
        <w:tc>
          <w:tcPr>
            <w:tcW w:w="173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AE6315B" w14:textId="77777777" w:rsidR="005B0986" w:rsidRPr="000861CE" w:rsidRDefault="005B0986" w:rsidP="00E96086">
            <w:pPr>
              <w:spacing w:beforeLines="60" w:before="144" w:afterLines="60" w:after="144" w:line="240" w:lineRule="auto"/>
              <w:rPr>
                <w:rFonts w:ascii="Arial" w:hAnsi="Arial" w:cs="Arial"/>
                <w:b/>
                <w:bCs/>
              </w:rPr>
            </w:pPr>
            <w:r w:rsidRPr="000861CE">
              <w:rPr>
                <w:rFonts w:ascii="Arial" w:hAnsi="Arial" w:cs="Arial"/>
                <w:b/>
                <w:bCs/>
              </w:rPr>
              <w:t xml:space="preserve">Pregled prihvaćenih i neprihvaćenih mišljenja i prijedloga s obrazloženjem razloga za neprihvaćanje </w:t>
            </w:r>
          </w:p>
        </w:tc>
        <w:tc>
          <w:tcPr>
            <w:tcW w:w="732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52DAB20" w14:textId="21980601" w:rsidR="005B0986" w:rsidRPr="000861CE" w:rsidRDefault="00736223" w:rsidP="007C38C6">
            <w:pPr>
              <w:spacing w:beforeLines="60" w:before="144" w:afterLines="60" w:after="144" w:line="240" w:lineRule="auto"/>
              <w:jc w:val="both"/>
              <w:rPr>
                <w:rFonts w:ascii="Arial" w:hAnsi="Arial" w:cs="Arial"/>
                <w:bCs/>
              </w:rPr>
            </w:pPr>
            <w:r>
              <w:rPr>
                <w:rFonts w:ascii="Arial" w:hAnsi="Arial" w:cs="Arial"/>
                <w:bCs/>
              </w:rPr>
              <w:t>-</w:t>
            </w:r>
          </w:p>
        </w:tc>
      </w:tr>
      <w:tr w:rsidR="005B0986" w:rsidRPr="000861CE" w14:paraId="5ED58CA0" w14:textId="77777777" w:rsidTr="00CE01D0">
        <w:trPr>
          <w:trHeight w:val="785"/>
        </w:trPr>
        <w:tc>
          <w:tcPr>
            <w:tcW w:w="173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BD7FE23" w14:textId="77777777" w:rsidR="005B0986" w:rsidRPr="000861CE" w:rsidRDefault="005B0986" w:rsidP="00E96086">
            <w:pPr>
              <w:spacing w:beforeLines="60" w:before="144" w:afterLines="60" w:after="144" w:line="240" w:lineRule="auto"/>
              <w:rPr>
                <w:rFonts w:ascii="Arial" w:hAnsi="Arial" w:cs="Arial"/>
                <w:b/>
                <w:bCs/>
              </w:rPr>
            </w:pPr>
            <w:r w:rsidRPr="000861CE">
              <w:rPr>
                <w:rFonts w:ascii="Arial" w:hAnsi="Arial" w:cs="Arial"/>
                <w:b/>
                <w:bCs/>
              </w:rPr>
              <w:t xml:space="preserve">Ostali oblici savjetovanja s javnošću </w:t>
            </w:r>
          </w:p>
        </w:tc>
        <w:tc>
          <w:tcPr>
            <w:tcW w:w="732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38134DC" w14:textId="61BC0C15" w:rsidR="00710D22" w:rsidRPr="000861CE" w:rsidRDefault="00F54F1D" w:rsidP="00E96086">
            <w:pPr>
              <w:spacing w:beforeLines="60" w:before="144" w:afterLines="60" w:after="144" w:line="240" w:lineRule="auto"/>
              <w:rPr>
                <w:rFonts w:ascii="Arial" w:hAnsi="Arial" w:cs="Arial"/>
                <w:bCs/>
              </w:rPr>
            </w:pPr>
            <w:r w:rsidRPr="000861CE">
              <w:rPr>
                <w:rFonts w:ascii="Arial" w:hAnsi="Arial" w:cs="Arial"/>
                <w:bCs/>
              </w:rPr>
              <w:t>-</w:t>
            </w:r>
          </w:p>
        </w:tc>
      </w:tr>
      <w:tr w:rsidR="005B0986" w:rsidRPr="000861CE" w14:paraId="076B2118" w14:textId="77777777" w:rsidTr="00CE01D0">
        <w:trPr>
          <w:trHeight w:val="777"/>
        </w:trPr>
        <w:tc>
          <w:tcPr>
            <w:tcW w:w="173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180B283" w14:textId="77777777" w:rsidR="005B0986" w:rsidRPr="000861CE" w:rsidRDefault="005B0986" w:rsidP="00E96086">
            <w:pPr>
              <w:spacing w:beforeLines="60" w:before="144" w:afterLines="60" w:after="144" w:line="240" w:lineRule="auto"/>
              <w:rPr>
                <w:rFonts w:ascii="Arial" w:hAnsi="Arial" w:cs="Arial"/>
                <w:b/>
                <w:bCs/>
              </w:rPr>
            </w:pPr>
            <w:r w:rsidRPr="000861CE">
              <w:rPr>
                <w:rFonts w:ascii="Arial" w:hAnsi="Arial" w:cs="Arial"/>
                <w:b/>
                <w:bCs/>
              </w:rPr>
              <w:t>Troškovi provedenog savjetovanja</w:t>
            </w:r>
          </w:p>
        </w:tc>
        <w:tc>
          <w:tcPr>
            <w:tcW w:w="7327" w:type="dxa"/>
            <w:tcBorders>
              <w:top w:val="single" w:sz="4" w:space="0" w:color="365F91"/>
              <w:left w:val="single" w:sz="4" w:space="0" w:color="365F91"/>
              <w:bottom w:val="single" w:sz="4" w:space="0" w:color="365F91"/>
              <w:right w:val="single" w:sz="4" w:space="0" w:color="365F91"/>
            </w:tcBorders>
            <w:shd w:val="clear" w:color="auto" w:fill="auto"/>
          </w:tcPr>
          <w:p w14:paraId="014D2402" w14:textId="0241C091" w:rsidR="005B0986" w:rsidRPr="000861CE" w:rsidRDefault="00F54F1D" w:rsidP="00E96086">
            <w:pPr>
              <w:spacing w:beforeLines="60" w:before="144" w:afterLines="60" w:after="144" w:line="240" w:lineRule="auto"/>
              <w:jc w:val="both"/>
              <w:rPr>
                <w:rFonts w:ascii="Arial" w:hAnsi="Arial" w:cs="Arial"/>
                <w:bCs/>
              </w:rPr>
            </w:pPr>
            <w:r w:rsidRPr="000861CE">
              <w:rPr>
                <w:rFonts w:ascii="Arial" w:hAnsi="Arial" w:cs="Arial"/>
                <w:bCs/>
              </w:rPr>
              <w:t>Provedba internetskog savjetovanja nije uzrokovala financijske troškove</w:t>
            </w:r>
          </w:p>
        </w:tc>
      </w:tr>
    </w:tbl>
    <w:p w14:paraId="74452887" w14:textId="77777777" w:rsidR="00AC2B59" w:rsidRPr="000861CE" w:rsidRDefault="00AC2B59" w:rsidP="00AC2B59">
      <w:pPr>
        <w:pStyle w:val="Bezproreda"/>
        <w:rPr>
          <w:rFonts w:ascii="Arial" w:hAnsi="Arial" w:cs="Arial"/>
          <w:b/>
          <w:bCs/>
          <w:lang w:eastAsia="en-US"/>
        </w:rPr>
      </w:pPr>
      <w:bookmarkStart w:id="0" w:name="_Toc468978618"/>
    </w:p>
    <w:bookmarkEnd w:id="0"/>
    <w:p w14:paraId="4D9F0B6C" w14:textId="77777777" w:rsidR="00786881" w:rsidRPr="000861CE" w:rsidRDefault="00786881" w:rsidP="00AC2B59">
      <w:pPr>
        <w:pStyle w:val="Bezproreda"/>
        <w:rPr>
          <w:rFonts w:ascii="Arial" w:hAnsi="Arial" w:cs="Arial"/>
          <w:lang w:eastAsia="en-US"/>
        </w:rPr>
      </w:pPr>
    </w:p>
    <w:sectPr w:rsidR="00786881" w:rsidRPr="000861CE" w:rsidSect="00A34133">
      <w:head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DA88" w14:textId="77777777" w:rsidR="009B3817" w:rsidRDefault="009B3817" w:rsidP="00E96086">
      <w:pPr>
        <w:spacing w:after="0" w:line="240" w:lineRule="auto"/>
      </w:pPr>
      <w:r>
        <w:separator/>
      </w:r>
    </w:p>
  </w:endnote>
  <w:endnote w:type="continuationSeparator" w:id="0">
    <w:p w14:paraId="603C5B0A" w14:textId="77777777" w:rsidR="009B3817" w:rsidRDefault="009B3817" w:rsidP="00E9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54C8" w14:textId="77777777" w:rsidR="009B3817" w:rsidRDefault="009B3817" w:rsidP="00E96086">
      <w:pPr>
        <w:spacing w:after="0" w:line="240" w:lineRule="auto"/>
      </w:pPr>
      <w:r>
        <w:separator/>
      </w:r>
    </w:p>
  </w:footnote>
  <w:footnote w:type="continuationSeparator" w:id="0">
    <w:p w14:paraId="43C570D7" w14:textId="77777777" w:rsidR="009B3817" w:rsidRDefault="009B3817" w:rsidP="00E96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360C" w14:textId="77777777" w:rsidR="00345541" w:rsidRPr="00E96086" w:rsidRDefault="00345541" w:rsidP="00345541">
    <w:pPr>
      <w:pStyle w:val="Zaglavlje"/>
      <w:jc w:val="cent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86"/>
    <w:rsid w:val="00053D88"/>
    <w:rsid w:val="000861CE"/>
    <w:rsid w:val="000A350D"/>
    <w:rsid w:val="001907B5"/>
    <w:rsid w:val="002F712E"/>
    <w:rsid w:val="00345541"/>
    <w:rsid w:val="003D41E4"/>
    <w:rsid w:val="003E4187"/>
    <w:rsid w:val="00487095"/>
    <w:rsid w:val="004E7031"/>
    <w:rsid w:val="00504138"/>
    <w:rsid w:val="005B0986"/>
    <w:rsid w:val="00710D22"/>
    <w:rsid w:val="00736223"/>
    <w:rsid w:val="00786881"/>
    <w:rsid w:val="007C38C6"/>
    <w:rsid w:val="007F5703"/>
    <w:rsid w:val="00827264"/>
    <w:rsid w:val="00861A01"/>
    <w:rsid w:val="008C255D"/>
    <w:rsid w:val="009B3817"/>
    <w:rsid w:val="00A34133"/>
    <w:rsid w:val="00AC2B59"/>
    <w:rsid w:val="00B05625"/>
    <w:rsid w:val="00B85C09"/>
    <w:rsid w:val="00BE7890"/>
    <w:rsid w:val="00BF1045"/>
    <w:rsid w:val="00CE01D0"/>
    <w:rsid w:val="00D427D8"/>
    <w:rsid w:val="00DD6363"/>
    <w:rsid w:val="00E738EC"/>
    <w:rsid w:val="00E96086"/>
    <w:rsid w:val="00EC347B"/>
    <w:rsid w:val="00EC7CFE"/>
    <w:rsid w:val="00F54F1D"/>
    <w:rsid w:val="00F742DA"/>
    <w:rsid w:val="00FF0B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8569"/>
  <w15:docId w15:val="{3ECF4878-E804-434F-A335-27BF1249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86"/>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uiPriority w:val="35"/>
    <w:qFormat/>
    <w:rsid w:val="005B0986"/>
    <w:rPr>
      <w:rFonts w:ascii="Calibri" w:eastAsia="Calibri" w:hAnsi="Calibri" w:cs="Times New Roman"/>
      <w:b/>
      <w:bCs/>
      <w:sz w:val="20"/>
      <w:szCs w:val="20"/>
      <w:lang w:eastAsia="en-US"/>
    </w:rPr>
  </w:style>
  <w:style w:type="paragraph" w:styleId="Zaglavlje">
    <w:name w:val="header"/>
    <w:basedOn w:val="Normal"/>
    <w:link w:val="ZaglavljeChar"/>
    <w:uiPriority w:val="99"/>
    <w:unhideWhenUsed/>
    <w:rsid w:val="00E9608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6086"/>
    <w:rPr>
      <w:rFonts w:eastAsiaTheme="minorEastAsia"/>
      <w:lang w:eastAsia="zh-CN"/>
    </w:rPr>
  </w:style>
  <w:style w:type="paragraph" w:styleId="Podnoje">
    <w:name w:val="footer"/>
    <w:basedOn w:val="Normal"/>
    <w:link w:val="PodnojeChar"/>
    <w:uiPriority w:val="99"/>
    <w:unhideWhenUsed/>
    <w:rsid w:val="00E9608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6086"/>
    <w:rPr>
      <w:rFonts w:eastAsiaTheme="minorEastAsia"/>
      <w:lang w:eastAsia="zh-CN"/>
    </w:rPr>
  </w:style>
  <w:style w:type="paragraph" w:styleId="Bezproreda">
    <w:name w:val="No Spacing"/>
    <w:uiPriority w:val="1"/>
    <w:qFormat/>
    <w:rsid w:val="00AC2B5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1383</Words>
  <Characters>7884</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Deana Petravić Sokol</cp:lastModifiedBy>
  <cp:revision>19</cp:revision>
  <dcterms:created xsi:type="dcterms:W3CDTF">2023-11-28T07:30:00Z</dcterms:created>
  <dcterms:modified xsi:type="dcterms:W3CDTF">2023-11-28T12:03:00Z</dcterms:modified>
</cp:coreProperties>
</file>