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7E93" w14:textId="5CD7D92E" w:rsidR="005B0986" w:rsidRPr="00E96086" w:rsidRDefault="005B0986" w:rsidP="00AC2B59">
      <w:pPr>
        <w:pStyle w:val="Opisslike"/>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315"/>
      </w:tblGrid>
      <w:tr w:rsidR="005B0986" w:rsidRPr="00891613" w14:paraId="26EE7B2F" w14:textId="77777777" w:rsidTr="00891613">
        <w:trPr>
          <w:trHeight w:val="2303"/>
        </w:trPr>
        <w:tc>
          <w:tcPr>
            <w:tcW w:w="9060" w:type="dxa"/>
            <w:gridSpan w:val="2"/>
            <w:tcBorders>
              <w:bottom w:val="single" w:sz="4" w:space="0" w:color="365F91"/>
            </w:tcBorders>
            <w:shd w:val="clear" w:color="auto" w:fill="B8CCE4"/>
            <w:vAlign w:val="center"/>
          </w:tcPr>
          <w:p w14:paraId="6E125221" w14:textId="77777777" w:rsidR="00327CB3" w:rsidRPr="00891613" w:rsidRDefault="00327CB3" w:rsidP="00327CB3">
            <w:pPr>
              <w:pStyle w:val="Bezproreda"/>
              <w:jc w:val="center"/>
              <w:rPr>
                <w:rFonts w:ascii="Arial" w:hAnsi="Arial" w:cs="Arial"/>
                <w:b/>
                <w:bCs/>
              </w:rPr>
            </w:pPr>
          </w:p>
          <w:p w14:paraId="7622A88D" w14:textId="6ACDA3D0" w:rsidR="00327CB3" w:rsidRPr="00891613" w:rsidRDefault="005B0986" w:rsidP="00327CB3">
            <w:pPr>
              <w:pStyle w:val="Bezproreda"/>
              <w:jc w:val="center"/>
              <w:rPr>
                <w:rFonts w:ascii="Arial" w:hAnsi="Arial" w:cs="Arial"/>
                <w:b/>
                <w:bCs/>
              </w:rPr>
            </w:pPr>
            <w:r w:rsidRPr="00891613">
              <w:rPr>
                <w:rFonts w:ascii="Arial" w:hAnsi="Arial" w:cs="Arial"/>
                <w:b/>
                <w:bCs/>
              </w:rPr>
              <w:t>IZVJEŠĆE O SAVJETOVANJU S JAVNOŠĆU</w:t>
            </w:r>
            <w:r w:rsidR="003A21F1" w:rsidRPr="00891613">
              <w:rPr>
                <w:rFonts w:ascii="Arial" w:hAnsi="Arial" w:cs="Arial"/>
                <w:b/>
                <w:bCs/>
              </w:rPr>
              <w:t xml:space="preserve"> </w:t>
            </w:r>
            <w:r w:rsidRPr="00891613">
              <w:rPr>
                <w:rFonts w:ascii="Arial" w:hAnsi="Arial" w:cs="Arial"/>
                <w:b/>
                <w:bCs/>
              </w:rPr>
              <w:t>U POSTUPKU DONOŠENJA</w:t>
            </w:r>
          </w:p>
          <w:p w14:paraId="10518F3D" w14:textId="77777777" w:rsidR="00327CB3" w:rsidRPr="00891613" w:rsidRDefault="00327CB3" w:rsidP="00327CB3">
            <w:pPr>
              <w:pStyle w:val="Bezproreda"/>
              <w:jc w:val="center"/>
              <w:rPr>
                <w:rFonts w:ascii="Arial" w:hAnsi="Arial" w:cs="Arial"/>
                <w:b/>
                <w:bCs/>
              </w:rPr>
            </w:pPr>
          </w:p>
          <w:p w14:paraId="3955457D" w14:textId="3D88B5CF" w:rsidR="005B0986" w:rsidRPr="00891613" w:rsidRDefault="003A21F1" w:rsidP="00327CB3">
            <w:pPr>
              <w:pStyle w:val="Bezproreda"/>
              <w:jc w:val="center"/>
              <w:rPr>
                <w:rFonts w:ascii="Arial" w:hAnsi="Arial" w:cs="Arial"/>
                <w:b/>
                <w:bCs/>
              </w:rPr>
            </w:pPr>
            <w:r w:rsidRPr="00891613">
              <w:rPr>
                <w:rFonts w:ascii="Arial" w:hAnsi="Arial" w:cs="Arial"/>
                <w:b/>
                <w:bCs/>
              </w:rPr>
              <w:t>Odluke o visini paušalnog poreza po krevetu, smještajnoj jedinici u kampu i/ili kamp-odmorištu te smještajnoj jedinici u objektu za robinzonski smještaj</w:t>
            </w:r>
          </w:p>
          <w:p w14:paraId="17579B8A" w14:textId="77777777" w:rsidR="005B0986" w:rsidRPr="00891613" w:rsidRDefault="005B0986" w:rsidP="00327CB3">
            <w:pPr>
              <w:pStyle w:val="Bezproreda"/>
              <w:jc w:val="center"/>
              <w:rPr>
                <w:rFonts w:ascii="Arial" w:hAnsi="Arial" w:cs="Arial"/>
                <w:b/>
                <w:bCs/>
              </w:rPr>
            </w:pPr>
          </w:p>
          <w:p w14:paraId="16F6A96B" w14:textId="2F2282CC" w:rsidR="005B0986" w:rsidRPr="00891613" w:rsidRDefault="005B0986" w:rsidP="00941D1C">
            <w:pPr>
              <w:spacing w:after="0" w:line="240" w:lineRule="auto"/>
              <w:jc w:val="center"/>
              <w:rPr>
                <w:rFonts w:ascii="Arial" w:hAnsi="Arial" w:cs="Arial"/>
                <w:b/>
                <w:bCs/>
              </w:rPr>
            </w:pPr>
            <w:r w:rsidRPr="00891613">
              <w:rPr>
                <w:rFonts w:ascii="Arial" w:hAnsi="Arial" w:cs="Arial"/>
                <w:b/>
                <w:bCs/>
              </w:rPr>
              <w:t xml:space="preserve">Nositelj izrade izvješća: </w:t>
            </w:r>
            <w:r w:rsidR="00EC7CFE" w:rsidRPr="00891613">
              <w:rPr>
                <w:rFonts w:ascii="Arial" w:hAnsi="Arial" w:cs="Arial"/>
                <w:b/>
                <w:bCs/>
              </w:rPr>
              <w:t>Upravni odjel za proračun i financije</w:t>
            </w:r>
          </w:p>
          <w:p w14:paraId="4CE2CFE7" w14:textId="77777777" w:rsidR="00AC2B59" w:rsidRPr="00891613" w:rsidRDefault="00AC2B59" w:rsidP="00941D1C">
            <w:pPr>
              <w:spacing w:after="0" w:line="240" w:lineRule="auto"/>
              <w:jc w:val="center"/>
              <w:rPr>
                <w:rFonts w:ascii="Arial" w:hAnsi="Arial" w:cs="Arial"/>
                <w:b/>
                <w:bCs/>
              </w:rPr>
            </w:pPr>
          </w:p>
          <w:p w14:paraId="7F95E628" w14:textId="5107DD06" w:rsidR="00DD6363" w:rsidRPr="00891613" w:rsidRDefault="00DD6363" w:rsidP="00941D1C">
            <w:pPr>
              <w:spacing w:after="0" w:line="240" w:lineRule="auto"/>
              <w:jc w:val="center"/>
              <w:rPr>
                <w:rFonts w:ascii="Arial" w:hAnsi="Arial" w:cs="Arial"/>
                <w:b/>
                <w:bCs/>
              </w:rPr>
            </w:pPr>
            <w:r w:rsidRPr="00891613">
              <w:rPr>
                <w:rFonts w:ascii="Arial" w:hAnsi="Arial" w:cs="Arial"/>
                <w:b/>
                <w:bCs/>
              </w:rPr>
              <w:t>Sisak, 28.</w:t>
            </w:r>
            <w:r w:rsidR="00786881" w:rsidRPr="00891613">
              <w:rPr>
                <w:rFonts w:ascii="Arial" w:hAnsi="Arial" w:cs="Arial"/>
                <w:b/>
                <w:bCs/>
              </w:rPr>
              <w:t xml:space="preserve"> studenog </w:t>
            </w:r>
            <w:r w:rsidR="00AC2B59" w:rsidRPr="00891613">
              <w:rPr>
                <w:rFonts w:ascii="Arial" w:hAnsi="Arial" w:cs="Arial"/>
                <w:b/>
                <w:bCs/>
              </w:rPr>
              <w:t>2023. godine</w:t>
            </w:r>
          </w:p>
          <w:p w14:paraId="73E4ADDA" w14:textId="10FB1114" w:rsidR="005B0986" w:rsidRPr="00891613" w:rsidRDefault="005B0986" w:rsidP="00E96086">
            <w:pPr>
              <w:spacing w:after="120" w:line="240" w:lineRule="auto"/>
              <w:jc w:val="center"/>
              <w:rPr>
                <w:rFonts w:ascii="Arial" w:hAnsi="Arial" w:cs="Arial"/>
                <w:b/>
                <w:bCs/>
              </w:rPr>
            </w:pPr>
          </w:p>
        </w:tc>
      </w:tr>
      <w:tr w:rsidR="005B0986" w:rsidRPr="00891613" w14:paraId="42ACF8A7" w14:textId="77777777" w:rsidTr="005A17BA">
        <w:trPr>
          <w:trHeight w:val="777"/>
        </w:trPr>
        <w:tc>
          <w:tcPr>
            <w:tcW w:w="173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5F87EA3" w14:textId="77777777" w:rsidR="005B0986" w:rsidRPr="00891613" w:rsidRDefault="005B0986" w:rsidP="00E96086">
            <w:pPr>
              <w:spacing w:beforeLines="60" w:before="144" w:afterLines="60" w:after="144" w:line="240" w:lineRule="auto"/>
              <w:rPr>
                <w:rFonts w:ascii="Arial" w:hAnsi="Arial" w:cs="Arial"/>
                <w:b/>
                <w:bCs/>
              </w:rPr>
            </w:pPr>
            <w:r w:rsidRPr="00891613">
              <w:rPr>
                <w:rFonts w:ascii="Arial" w:hAnsi="Arial" w:cs="Arial"/>
                <w:b/>
                <w:bCs/>
              </w:rPr>
              <w:t xml:space="preserve">Naziv akta za koji je provedeno savjetovanje s javnošću </w:t>
            </w:r>
          </w:p>
        </w:tc>
        <w:tc>
          <w:tcPr>
            <w:tcW w:w="732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91EEE68" w14:textId="58AC47A7" w:rsidR="005B0986" w:rsidRPr="00891613" w:rsidRDefault="00E45667" w:rsidP="00E96086">
            <w:pPr>
              <w:spacing w:beforeLines="60" w:before="144" w:afterLines="60" w:after="144" w:line="240" w:lineRule="auto"/>
              <w:jc w:val="both"/>
              <w:rPr>
                <w:rFonts w:ascii="Arial" w:hAnsi="Arial" w:cs="Arial"/>
                <w:bCs/>
              </w:rPr>
            </w:pPr>
            <w:r w:rsidRPr="00891613">
              <w:rPr>
                <w:rFonts w:ascii="Arial" w:hAnsi="Arial" w:cs="Arial"/>
                <w:bCs/>
              </w:rPr>
              <w:t>Odluk</w:t>
            </w:r>
            <w:r w:rsidRPr="00891613">
              <w:rPr>
                <w:rFonts w:ascii="Arial" w:hAnsi="Arial" w:cs="Arial"/>
                <w:bCs/>
              </w:rPr>
              <w:t>a</w:t>
            </w:r>
            <w:r w:rsidRPr="00891613">
              <w:rPr>
                <w:rFonts w:ascii="Arial" w:hAnsi="Arial" w:cs="Arial"/>
                <w:bCs/>
              </w:rPr>
              <w:t xml:space="preserve"> o visini paušalnog poreza po krevetu, smještajnoj jedinici u kampu i/ili kamp-odmorištu te smještajnoj jedinici u objektu za robinzonski smještaj</w:t>
            </w:r>
          </w:p>
        </w:tc>
      </w:tr>
      <w:tr w:rsidR="005B0986" w:rsidRPr="00891613" w14:paraId="32B68336" w14:textId="77777777" w:rsidTr="005A17BA">
        <w:trPr>
          <w:trHeight w:val="831"/>
        </w:trPr>
        <w:tc>
          <w:tcPr>
            <w:tcW w:w="173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0CBF597" w14:textId="77777777" w:rsidR="005B0986" w:rsidRPr="00891613" w:rsidRDefault="005B0986" w:rsidP="00E96086">
            <w:pPr>
              <w:spacing w:beforeLines="60" w:before="144" w:afterLines="60" w:after="144" w:line="240" w:lineRule="auto"/>
              <w:rPr>
                <w:rFonts w:ascii="Arial" w:hAnsi="Arial" w:cs="Arial"/>
                <w:b/>
                <w:bCs/>
              </w:rPr>
            </w:pPr>
            <w:r w:rsidRPr="00891613">
              <w:rPr>
                <w:rFonts w:ascii="Arial" w:hAnsi="Arial" w:cs="Arial"/>
                <w:b/>
                <w:bCs/>
              </w:rPr>
              <w:t xml:space="preserve">Naziv tijela nadležnog za izradu nacrta / provedbu savjetovanja </w:t>
            </w:r>
          </w:p>
        </w:tc>
        <w:tc>
          <w:tcPr>
            <w:tcW w:w="732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B9949F2" w14:textId="12192E84" w:rsidR="005B0986" w:rsidRPr="00891613" w:rsidRDefault="00B05625" w:rsidP="00E96086">
            <w:pPr>
              <w:spacing w:beforeLines="60" w:before="144" w:afterLines="60" w:after="144" w:line="240" w:lineRule="auto"/>
              <w:jc w:val="both"/>
              <w:rPr>
                <w:rFonts w:ascii="Arial" w:hAnsi="Arial" w:cs="Arial"/>
                <w:bCs/>
              </w:rPr>
            </w:pPr>
            <w:r w:rsidRPr="00891613">
              <w:rPr>
                <w:rFonts w:ascii="Arial" w:hAnsi="Arial" w:cs="Arial"/>
                <w:bCs/>
              </w:rPr>
              <w:t>Upravni odjel za proračun i financije</w:t>
            </w:r>
          </w:p>
        </w:tc>
      </w:tr>
      <w:tr w:rsidR="00891613" w:rsidRPr="00891613" w14:paraId="66B0CA38" w14:textId="77777777" w:rsidTr="005A17BA">
        <w:trPr>
          <w:trHeight w:val="1746"/>
        </w:trPr>
        <w:tc>
          <w:tcPr>
            <w:tcW w:w="1733" w:type="dxa"/>
            <w:tcBorders>
              <w:top w:val="single" w:sz="4" w:space="0" w:color="365F91"/>
              <w:left w:val="single" w:sz="4" w:space="0" w:color="365F91"/>
              <w:bottom w:val="single" w:sz="4" w:space="0" w:color="auto"/>
              <w:right w:val="single" w:sz="4" w:space="0" w:color="365F91"/>
            </w:tcBorders>
            <w:shd w:val="clear" w:color="auto" w:fill="auto"/>
          </w:tcPr>
          <w:p w14:paraId="1ED479BC" w14:textId="2B3637C7" w:rsidR="00891613" w:rsidRPr="00891613" w:rsidRDefault="00104485" w:rsidP="00891613">
            <w:pPr>
              <w:spacing w:beforeLines="60" w:before="144" w:afterLines="60" w:after="144" w:line="240" w:lineRule="auto"/>
              <w:rPr>
                <w:rFonts w:ascii="Arial" w:hAnsi="Arial" w:cs="Arial"/>
                <w:b/>
                <w:bCs/>
              </w:rPr>
            </w:pPr>
            <w:r w:rsidRPr="00104485">
              <w:rPr>
                <w:rFonts w:ascii="Arial" w:hAnsi="Arial" w:cs="Arial"/>
                <w:b/>
                <w:bCs/>
              </w:rPr>
              <w:t>Razlozi za donošenje akta i ciljevi koji se njime žele postići uz sažetak ključnih pitanja</w:t>
            </w:r>
          </w:p>
        </w:tc>
        <w:tc>
          <w:tcPr>
            <w:tcW w:w="7327" w:type="dxa"/>
            <w:tcBorders>
              <w:top w:val="single" w:sz="4" w:space="0" w:color="365F91"/>
              <w:left w:val="single" w:sz="4" w:space="0" w:color="365F91"/>
              <w:bottom w:val="single" w:sz="4" w:space="0" w:color="365F91"/>
              <w:right w:val="single" w:sz="4" w:space="0" w:color="365F91"/>
            </w:tcBorders>
            <w:shd w:val="clear" w:color="auto" w:fill="auto"/>
          </w:tcPr>
          <w:p w14:paraId="09F967EB" w14:textId="77777777" w:rsidR="00921C8F" w:rsidRPr="00921C8F" w:rsidRDefault="00921C8F" w:rsidP="00921C8F">
            <w:pPr>
              <w:spacing w:beforeLines="60" w:before="144" w:afterLines="60" w:after="144" w:line="240" w:lineRule="auto"/>
              <w:jc w:val="both"/>
              <w:rPr>
                <w:rFonts w:ascii="Arial" w:hAnsi="Arial" w:cs="Arial"/>
                <w:bCs/>
              </w:rPr>
            </w:pPr>
            <w:r w:rsidRPr="00921C8F">
              <w:rPr>
                <w:rFonts w:ascii="Arial" w:hAnsi="Arial" w:cs="Arial"/>
                <w:bCs/>
              </w:rPr>
              <w:t>Budući da je odredbama Zakona o izmjenama i dopunama Zakona o porezu na dohodak („Narodne novine“, broj 114/23), ukinut prirez porezu na dohodak za sve dohotke (pri čemu navedene odredbe o ukidanju prireza porezu na dohodak stupaju na snagu 1. siječnja 2024. godine), od slijedeće godine se više ne obračunava prirez porezu na dohodak ni na iznos godišnjeg paušalnog poreza na dohodak od iznajmljivanja stanova, soba i postelja putnicima i turistima i organiziranja kampova.</w:t>
            </w:r>
          </w:p>
          <w:p w14:paraId="10F3DB00" w14:textId="00CA270D" w:rsidR="00921C8F" w:rsidRPr="00921C8F" w:rsidRDefault="00921C8F" w:rsidP="00921C8F">
            <w:pPr>
              <w:spacing w:beforeLines="60" w:before="144" w:afterLines="60" w:after="144" w:line="240" w:lineRule="auto"/>
              <w:jc w:val="both"/>
              <w:rPr>
                <w:rFonts w:ascii="Arial" w:hAnsi="Arial" w:cs="Arial"/>
                <w:bCs/>
              </w:rPr>
            </w:pPr>
            <w:r w:rsidRPr="00921C8F">
              <w:rPr>
                <w:rFonts w:ascii="Arial" w:hAnsi="Arial" w:cs="Arial"/>
                <w:bCs/>
              </w:rPr>
              <w:t>Prema odredbama Zakona o financiranju jedinica lokalne i područne samouprave („Narodne novine“, broj 127/17, 138/20, 151/22 i 114/23), prihodi od poreza na dohodak, u koje spada i navedeni godišnji paušalni porez na dohodak po krevetu, zajednički su prihodi koji se raspodjeljuju između općina, gradova i županija.</w:t>
            </w:r>
          </w:p>
          <w:p w14:paraId="0D4081D5" w14:textId="3487AAA3" w:rsidR="00921C8F" w:rsidRPr="00921C8F" w:rsidRDefault="00921C8F" w:rsidP="00921C8F">
            <w:pPr>
              <w:spacing w:beforeLines="60" w:before="144" w:afterLines="60" w:after="144" w:line="240" w:lineRule="auto"/>
              <w:jc w:val="both"/>
              <w:rPr>
                <w:rFonts w:ascii="Arial" w:hAnsi="Arial" w:cs="Arial"/>
                <w:bCs/>
              </w:rPr>
            </w:pPr>
            <w:r w:rsidRPr="00921C8F">
              <w:rPr>
                <w:rFonts w:ascii="Arial" w:hAnsi="Arial" w:cs="Arial"/>
                <w:bCs/>
              </w:rPr>
              <w:t xml:space="preserve">Grad Sisak učestalo provodi ulaganja u sve oblike komunalne infrastrukture, što bitno pridonosi kvaliteti života u gradu. Ta ulaganja su jedan od osnovnih preduvjeta kako za ugodan život građana tako i za ugodan boravak posjetitelja Grada. </w:t>
            </w:r>
          </w:p>
          <w:p w14:paraId="62823228" w14:textId="53AA05E8" w:rsidR="00921C8F" w:rsidRPr="00921C8F" w:rsidRDefault="00921C8F" w:rsidP="00921C8F">
            <w:pPr>
              <w:spacing w:beforeLines="60" w:before="144" w:afterLines="60" w:after="144" w:line="240" w:lineRule="auto"/>
              <w:jc w:val="both"/>
              <w:rPr>
                <w:rFonts w:ascii="Arial" w:hAnsi="Arial" w:cs="Arial"/>
                <w:bCs/>
              </w:rPr>
            </w:pPr>
            <w:r w:rsidRPr="00921C8F">
              <w:rPr>
                <w:rFonts w:ascii="Arial" w:hAnsi="Arial" w:cs="Arial"/>
                <w:bCs/>
              </w:rPr>
              <w:t xml:space="preserve">Grad Sisak značajna novčana sredstva izdvaja i za unaprjeđenje i jačanje turističke ponude grada Siska te je slijedom toga ove godine u gradskom proračunu za Turističku zajednicu grada Siska osiguran iznos od cca 170.000,00 eura. Dodijeljena sredstva namijenjena su za organizaciju turističkih i gospodarskih događanja s ciljem unapređenja/obogaćivanja turističkog proizvoda/ponude te razvoja eno-gastro i ostalih selektivnih oblika turizma. </w:t>
            </w:r>
          </w:p>
          <w:p w14:paraId="042C30E9" w14:textId="3CB17531" w:rsidR="00921C8F" w:rsidRPr="00921C8F" w:rsidRDefault="00921C8F" w:rsidP="00921C8F">
            <w:pPr>
              <w:spacing w:beforeLines="60" w:before="144" w:afterLines="60" w:after="144" w:line="240" w:lineRule="auto"/>
              <w:jc w:val="both"/>
              <w:rPr>
                <w:rFonts w:ascii="Arial" w:hAnsi="Arial" w:cs="Arial"/>
                <w:bCs/>
              </w:rPr>
            </w:pPr>
            <w:r w:rsidRPr="00921C8F">
              <w:rPr>
                <w:rFonts w:ascii="Arial" w:hAnsi="Arial" w:cs="Arial"/>
                <w:bCs/>
              </w:rPr>
              <w:t>Sukladno odredbi članka 3. stavka 1. Pravilnika Gradsko vijeće Grada Siska visinu paušalnog poreza donosi za područje naselja u kojem se djelatnosti iznajmljivanja i smještaja u turizmu pružaju.</w:t>
            </w:r>
          </w:p>
          <w:p w14:paraId="2E5D00C9" w14:textId="77777777" w:rsidR="00921C8F" w:rsidRPr="00921C8F" w:rsidRDefault="00921C8F" w:rsidP="00921C8F">
            <w:pPr>
              <w:spacing w:beforeLines="60" w:before="144" w:afterLines="60" w:after="144" w:line="240" w:lineRule="auto"/>
              <w:jc w:val="both"/>
              <w:rPr>
                <w:rFonts w:ascii="Arial" w:hAnsi="Arial" w:cs="Arial"/>
                <w:bCs/>
              </w:rPr>
            </w:pPr>
            <w:r w:rsidRPr="00921C8F">
              <w:rPr>
                <w:rFonts w:ascii="Arial" w:hAnsi="Arial" w:cs="Arial"/>
                <w:bCs/>
              </w:rPr>
              <w:lastRenderedPageBreak/>
              <w:t>Slijedom navedenoga, a uzimajući u obzir mišljenje Turističke zajednice grada Siska, ovim materijalom predlaže se povećanje paušalnog poreza po krevetu u sobama, apartmanima i kućama za odmor na iznos od 40,00 eura po krevetu za Sisak, te na 20,00 eura po krevetu za ostala naselja na području Grada Siska, dok se povećanje paušalnog poreza po smještajnoj jedinici u kampu i/ili kamp-odmorištu te po smještajnoj jedinici u objektu za robinzonski smještaj predlaže na iznos od 30,00 eura po smještajnoj jedinici u kampu i/ili kamp-odmorištu odnosno objektu za robinzonski smještaj za Sisak, te na 20,00 eura po smještajnoj jedinici u kampu i/ili kamp-odmorištu odnosno objektu za robinzonski smještaj za ostala naselja na području Grada Siska.</w:t>
            </w:r>
          </w:p>
          <w:p w14:paraId="584EEB96" w14:textId="6397305B" w:rsidR="00891613" w:rsidRPr="00891613" w:rsidRDefault="00921C8F" w:rsidP="00891613">
            <w:pPr>
              <w:spacing w:beforeLines="60" w:before="144" w:afterLines="60" w:after="144" w:line="240" w:lineRule="auto"/>
              <w:jc w:val="both"/>
              <w:rPr>
                <w:rFonts w:ascii="Arial" w:hAnsi="Arial" w:cs="Arial"/>
                <w:bCs/>
              </w:rPr>
            </w:pPr>
            <w:r w:rsidRPr="00921C8F">
              <w:rPr>
                <w:rFonts w:ascii="Arial" w:hAnsi="Arial" w:cs="Arial"/>
                <w:bCs/>
              </w:rPr>
              <w:t>Nova odluka stupila bi na snagu s 1. siječnja 2024. godine čime bi ujedno prestala važiti dosadašnja Odluka o visini paušalnog poreza po krevetu, smještajnoj jedinici u kampu i smještajnoj jedinici u objektu za robinzonski smještaj.</w:t>
            </w:r>
          </w:p>
        </w:tc>
      </w:tr>
      <w:tr w:rsidR="005B0986" w:rsidRPr="00891613" w14:paraId="366C5695" w14:textId="77777777" w:rsidTr="005A17BA">
        <w:trPr>
          <w:trHeight w:val="525"/>
        </w:trPr>
        <w:tc>
          <w:tcPr>
            <w:tcW w:w="1733" w:type="dxa"/>
            <w:tcBorders>
              <w:top w:val="single" w:sz="4" w:space="0" w:color="auto"/>
              <w:left w:val="single" w:sz="4" w:space="0" w:color="365F91"/>
              <w:bottom w:val="single" w:sz="4" w:space="0" w:color="auto"/>
              <w:right w:val="single" w:sz="4" w:space="0" w:color="365F91"/>
            </w:tcBorders>
            <w:shd w:val="clear" w:color="auto" w:fill="auto"/>
            <w:vAlign w:val="center"/>
          </w:tcPr>
          <w:p w14:paraId="14C3AA4D" w14:textId="6333B4F2" w:rsidR="005B0986" w:rsidRPr="00891613" w:rsidRDefault="005B0986" w:rsidP="00E96086">
            <w:pPr>
              <w:spacing w:beforeLines="60" w:before="144" w:afterLines="60" w:after="144" w:line="240" w:lineRule="auto"/>
              <w:rPr>
                <w:rFonts w:ascii="Arial" w:hAnsi="Arial" w:cs="Arial"/>
                <w:b/>
                <w:bCs/>
              </w:rPr>
            </w:pPr>
            <w:r w:rsidRPr="00891613">
              <w:rPr>
                <w:rFonts w:ascii="Arial" w:hAnsi="Arial" w:cs="Arial"/>
                <w:b/>
                <w:bCs/>
              </w:rPr>
              <w:lastRenderedPageBreak/>
              <w:t>Objava dokumenata za savjetovanje</w:t>
            </w:r>
            <w:r w:rsidR="00F742DA" w:rsidRPr="00891613">
              <w:rPr>
                <w:rFonts w:ascii="Arial" w:hAnsi="Arial" w:cs="Arial"/>
                <w:b/>
                <w:bCs/>
              </w:rPr>
              <w:t xml:space="preserve"> </w:t>
            </w:r>
          </w:p>
        </w:tc>
        <w:tc>
          <w:tcPr>
            <w:tcW w:w="732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6055A77" w14:textId="6868709F" w:rsidR="005B0986" w:rsidRPr="00891613" w:rsidRDefault="00E45667" w:rsidP="00E96086">
            <w:pPr>
              <w:spacing w:beforeLines="60" w:before="144" w:afterLines="60" w:after="144" w:line="240" w:lineRule="auto"/>
              <w:rPr>
                <w:rFonts w:ascii="Arial" w:hAnsi="Arial" w:cs="Arial"/>
                <w:bCs/>
              </w:rPr>
            </w:pPr>
            <w:r w:rsidRPr="00891613">
              <w:rPr>
                <w:rFonts w:ascii="Arial" w:hAnsi="Arial" w:cs="Arial"/>
                <w:bCs/>
              </w:rPr>
              <w:t>https://sisak.hr/odluka-o-visini-pausalnog-poreza-po-krevetu-smjestajnoj-jedinici-u-kampu-iili-kamp-odmoristu-te-smjestajnoj-jedinici-u-objektu-za-robinzonski-smjestaj/</w:t>
            </w:r>
          </w:p>
        </w:tc>
      </w:tr>
      <w:tr w:rsidR="005B0986" w:rsidRPr="00891613" w14:paraId="05945D96" w14:textId="77777777" w:rsidTr="005A17BA">
        <w:trPr>
          <w:trHeight w:val="692"/>
        </w:trPr>
        <w:tc>
          <w:tcPr>
            <w:tcW w:w="1733" w:type="dxa"/>
            <w:tcBorders>
              <w:top w:val="single" w:sz="4" w:space="0" w:color="auto"/>
              <w:left w:val="single" w:sz="4" w:space="0" w:color="365F91"/>
              <w:bottom w:val="single" w:sz="4" w:space="0" w:color="365F91"/>
              <w:right w:val="single" w:sz="4" w:space="0" w:color="365F91"/>
            </w:tcBorders>
            <w:shd w:val="clear" w:color="auto" w:fill="auto"/>
            <w:vAlign w:val="center"/>
          </w:tcPr>
          <w:p w14:paraId="75425350" w14:textId="0296AD88" w:rsidR="005B0986" w:rsidRPr="00891613" w:rsidRDefault="00E96086" w:rsidP="00E96086">
            <w:pPr>
              <w:spacing w:beforeLines="60" w:before="144" w:afterLines="60" w:after="144" w:line="240" w:lineRule="auto"/>
              <w:rPr>
                <w:rFonts w:ascii="Arial" w:hAnsi="Arial" w:cs="Arial"/>
                <w:b/>
                <w:bCs/>
              </w:rPr>
            </w:pPr>
            <w:r w:rsidRPr="00891613">
              <w:rPr>
                <w:rFonts w:ascii="Arial" w:hAnsi="Arial" w:cs="Arial"/>
                <w:b/>
                <w:bCs/>
              </w:rPr>
              <w:t>Raz</w:t>
            </w:r>
            <w:r w:rsidR="00B05625" w:rsidRPr="00891613">
              <w:rPr>
                <w:rFonts w:ascii="Arial" w:hAnsi="Arial" w:cs="Arial"/>
                <w:b/>
                <w:bCs/>
              </w:rPr>
              <w:t>d</w:t>
            </w:r>
            <w:r w:rsidRPr="00891613">
              <w:rPr>
                <w:rFonts w:ascii="Arial" w:hAnsi="Arial" w:cs="Arial"/>
                <w:b/>
                <w:bCs/>
              </w:rPr>
              <w:t xml:space="preserve">oblje provedbe savjetovanja </w:t>
            </w:r>
          </w:p>
        </w:tc>
        <w:tc>
          <w:tcPr>
            <w:tcW w:w="7327" w:type="dxa"/>
            <w:tcBorders>
              <w:top w:val="single" w:sz="4" w:space="0" w:color="365F91"/>
              <w:left w:val="single" w:sz="4" w:space="0" w:color="365F91"/>
              <w:right w:val="single" w:sz="4" w:space="0" w:color="365F91"/>
            </w:tcBorders>
            <w:shd w:val="clear" w:color="auto" w:fill="auto"/>
            <w:vAlign w:val="center"/>
          </w:tcPr>
          <w:p w14:paraId="3990DDA9" w14:textId="666E32BD" w:rsidR="005B0986" w:rsidRPr="00891613" w:rsidRDefault="00786881" w:rsidP="00786881">
            <w:pPr>
              <w:spacing w:beforeLines="60" w:before="144" w:afterLines="60" w:after="144" w:line="240" w:lineRule="auto"/>
              <w:rPr>
                <w:rFonts w:ascii="Arial" w:hAnsi="Arial" w:cs="Arial"/>
                <w:bCs/>
              </w:rPr>
            </w:pPr>
            <w:r w:rsidRPr="00891613">
              <w:rPr>
                <w:rFonts w:ascii="Arial" w:hAnsi="Arial" w:cs="Arial"/>
                <w:bCs/>
              </w:rPr>
              <w:t>27.10. 2023. – 26.11. 2023.</w:t>
            </w:r>
          </w:p>
        </w:tc>
      </w:tr>
      <w:tr w:rsidR="005B0986" w:rsidRPr="00891613" w14:paraId="74D3580F" w14:textId="77777777" w:rsidTr="005A17BA">
        <w:trPr>
          <w:trHeight w:val="697"/>
        </w:trPr>
        <w:tc>
          <w:tcPr>
            <w:tcW w:w="173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7D6F805" w14:textId="77777777" w:rsidR="005B0986" w:rsidRPr="00891613" w:rsidRDefault="005B0986" w:rsidP="00E96086">
            <w:pPr>
              <w:spacing w:beforeLines="60" w:before="144" w:afterLines="60" w:after="144" w:line="240" w:lineRule="auto"/>
              <w:rPr>
                <w:rFonts w:ascii="Arial" w:hAnsi="Arial" w:cs="Arial"/>
                <w:b/>
                <w:bCs/>
              </w:rPr>
            </w:pPr>
            <w:r w:rsidRPr="00891613">
              <w:rPr>
                <w:rFonts w:ascii="Arial" w:hAnsi="Arial" w:cs="Arial"/>
                <w:b/>
                <w:bCs/>
              </w:rPr>
              <w:t xml:space="preserve">Pregled osnovnih pokazatelja  uključenosti savjetovanja s javnošću </w:t>
            </w:r>
          </w:p>
        </w:tc>
        <w:tc>
          <w:tcPr>
            <w:tcW w:w="732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CF597F4" w14:textId="3E578CE4" w:rsidR="005B0986" w:rsidRPr="00891613" w:rsidRDefault="00B233BE" w:rsidP="00B233BE">
            <w:pPr>
              <w:spacing w:beforeLines="60" w:before="144" w:afterLines="60" w:after="144" w:line="240" w:lineRule="auto"/>
              <w:jc w:val="both"/>
              <w:rPr>
                <w:rFonts w:ascii="Arial" w:hAnsi="Arial" w:cs="Arial"/>
                <w:bCs/>
              </w:rPr>
            </w:pPr>
            <w:r w:rsidRPr="00B233BE">
              <w:rPr>
                <w:rFonts w:ascii="Arial" w:hAnsi="Arial" w:cs="Arial"/>
                <w:bCs/>
              </w:rPr>
              <w:t>Tijekom trajanja savjetovanja s javnošću nije pristiglo niti jedno mišljenje, primjedba odnosno prijedlog na predmetni akt</w:t>
            </w:r>
          </w:p>
        </w:tc>
      </w:tr>
      <w:tr w:rsidR="005B0986" w:rsidRPr="00891613" w14:paraId="540AC297" w14:textId="77777777" w:rsidTr="005A17BA">
        <w:tc>
          <w:tcPr>
            <w:tcW w:w="173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AE6315B" w14:textId="77777777" w:rsidR="005B0986" w:rsidRPr="00891613" w:rsidRDefault="005B0986" w:rsidP="00E96086">
            <w:pPr>
              <w:spacing w:beforeLines="60" w:before="144" w:afterLines="60" w:after="144" w:line="240" w:lineRule="auto"/>
              <w:rPr>
                <w:rFonts w:ascii="Arial" w:hAnsi="Arial" w:cs="Arial"/>
                <w:b/>
                <w:bCs/>
              </w:rPr>
            </w:pPr>
            <w:r w:rsidRPr="00891613">
              <w:rPr>
                <w:rFonts w:ascii="Arial" w:hAnsi="Arial" w:cs="Arial"/>
                <w:b/>
                <w:bCs/>
              </w:rPr>
              <w:t xml:space="preserve">Pregled prihvaćenih i neprihvaćenih mišljenja i prijedloga s obrazloženjem razloga za neprihvaćanje </w:t>
            </w:r>
          </w:p>
        </w:tc>
        <w:tc>
          <w:tcPr>
            <w:tcW w:w="732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52DAB20" w14:textId="3FC4D5E1" w:rsidR="005B0986" w:rsidRPr="00891613" w:rsidRDefault="00B233BE" w:rsidP="00DC794E">
            <w:pPr>
              <w:spacing w:beforeLines="60" w:before="144" w:afterLines="60" w:after="144" w:line="240" w:lineRule="auto"/>
              <w:jc w:val="both"/>
              <w:rPr>
                <w:rFonts w:ascii="Arial" w:hAnsi="Arial" w:cs="Arial"/>
                <w:bCs/>
              </w:rPr>
            </w:pPr>
            <w:r>
              <w:rPr>
                <w:rFonts w:ascii="Arial" w:hAnsi="Arial" w:cs="Arial"/>
                <w:bCs/>
              </w:rPr>
              <w:t>-</w:t>
            </w:r>
          </w:p>
        </w:tc>
      </w:tr>
      <w:tr w:rsidR="005B0986" w:rsidRPr="00891613" w14:paraId="5ED58CA0" w14:textId="77777777" w:rsidTr="005A17BA">
        <w:trPr>
          <w:trHeight w:val="785"/>
        </w:trPr>
        <w:tc>
          <w:tcPr>
            <w:tcW w:w="173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BD7FE23" w14:textId="77777777" w:rsidR="005B0986" w:rsidRPr="00891613" w:rsidRDefault="005B0986" w:rsidP="00E96086">
            <w:pPr>
              <w:spacing w:beforeLines="60" w:before="144" w:afterLines="60" w:after="144" w:line="240" w:lineRule="auto"/>
              <w:rPr>
                <w:rFonts w:ascii="Arial" w:hAnsi="Arial" w:cs="Arial"/>
                <w:b/>
                <w:bCs/>
              </w:rPr>
            </w:pPr>
            <w:r w:rsidRPr="00891613">
              <w:rPr>
                <w:rFonts w:ascii="Arial" w:hAnsi="Arial" w:cs="Arial"/>
                <w:b/>
                <w:bCs/>
              </w:rPr>
              <w:t xml:space="preserve">Ostali oblici savjetovanja s javnošću </w:t>
            </w:r>
          </w:p>
        </w:tc>
        <w:tc>
          <w:tcPr>
            <w:tcW w:w="732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38134DC" w14:textId="61BC0C15" w:rsidR="00710D22" w:rsidRPr="00891613" w:rsidRDefault="00F54F1D" w:rsidP="00E96086">
            <w:pPr>
              <w:spacing w:beforeLines="60" w:before="144" w:afterLines="60" w:after="144" w:line="240" w:lineRule="auto"/>
              <w:rPr>
                <w:rFonts w:ascii="Arial" w:hAnsi="Arial" w:cs="Arial"/>
                <w:bCs/>
              </w:rPr>
            </w:pPr>
            <w:r w:rsidRPr="00891613">
              <w:rPr>
                <w:rFonts w:ascii="Arial" w:hAnsi="Arial" w:cs="Arial"/>
                <w:bCs/>
              </w:rPr>
              <w:t>-</w:t>
            </w:r>
          </w:p>
        </w:tc>
      </w:tr>
      <w:tr w:rsidR="005B0986" w:rsidRPr="00891613" w14:paraId="076B2118" w14:textId="77777777" w:rsidTr="005A17BA">
        <w:trPr>
          <w:trHeight w:val="777"/>
        </w:trPr>
        <w:tc>
          <w:tcPr>
            <w:tcW w:w="1733"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180B283" w14:textId="77777777" w:rsidR="005B0986" w:rsidRPr="00891613" w:rsidRDefault="005B0986" w:rsidP="00E96086">
            <w:pPr>
              <w:spacing w:beforeLines="60" w:before="144" w:afterLines="60" w:after="144" w:line="240" w:lineRule="auto"/>
              <w:rPr>
                <w:rFonts w:ascii="Arial" w:hAnsi="Arial" w:cs="Arial"/>
                <w:b/>
                <w:bCs/>
              </w:rPr>
            </w:pPr>
            <w:r w:rsidRPr="00891613">
              <w:rPr>
                <w:rFonts w:ascii="Arial" w:hAnsi="Arial" w:cs="Arial"/>
                <w:b/>
                <w:bCs/>
              </w:rPr>
              <w:t>Troškovi provedenog savjetovanja</w:t>
            </w:r>
          </w:p>
        </w:tc>
        <w:tc>
          <w:tcPr>
            <w:tcW w:w="7327" w:type="dxa"/>
            <w:tcBorders>
              <w:top w:val="single" w:sz="4" w:space="0" w:color="365F91"/>
              <w:left w:val="single" w:sz="4" w:space="0" w:color="365F91"/>
              <w:bottom w:val="single" w:sz="4" w:space="0" w:color="365F91"/>
              <w:right w:val="single" w:sz="4" w:space="0" w:color="365F91"/>
            </w:tcBorders>
            <w:shd w:val="clear" w:color="auto" w:fill="auto"/>
          </w:tcPr>
          <w:p w14:paraId="014D2402" w14:textId="0241C091" w:rsidR="005B0986" w:rsidRPr="00891613" w:rsidRDefault="00F54F1D" w:rsidP="00E96086">
            <w:pPr>
              <w:spacing w:beforeLines="60" w:before="144" w:afterLines="60" w:after="144" w:line="240" w:lineRule="auto"/>
              <w:jc w:val="both"/>
              <w:rPr>
                <w:rFonts w:ascii="Arial" w:hAnsi="Arial" w:cs="Arial"/>
                <w:bCs/>
              </w:rPr>
            </w:pPr>
            <w:r w:rsidRPr="00891613">
              <w:rPr>
                <w:rFonts w:ascii="Arial" w:hAnsi="Arial" w:cs="Arial"/>
                <w:bCs/>
              </w:rPr>
              <w:t>Provedba internetskog savjetovanja nije uzrokovala financijske troškove</w:t>
            </w:r>
          </w:p>
        </w:tc>
      </w:tr>
    </w:tbl>
    <w:p w14:paraId="74452887" w14:textId="77777777" w:rsidR="00AC2B59" w:rsidRPr="00891613" w:rsidRDefault="00AC2B59" w:rsidP="00AC2B59">
      <w:pPr>
        <w:pStyle w:val="Bezproreda"/>
        <w:rPr>
          <w:rFonts w:ascii="Arial" w:hAnsi="Arial" w:cs="Arial"/>
          <w:b/>
          <w:bCs/>
          <w:lang w:eastAsia="en-US"/>
        </w:rPr>
      </w:pPr>
      <w:bookmarkStart w:id="0" w:name="_Toc468978618"/>
    </w:p>
    <w:bookmarkEnd w:id="0"/>
    <w:p w14:paraId="188863E2" w14:textId="77777777" w:rsidR="00DD6363" w:rsidRPr="00891613" w:rsidRDefault="00DD6363">
      <w:pPr>
        <w:rPr>
          <w:rFonts w:ascii="Arial" w:eastAsia="Calibri" w:hAnsi="Arial" w:cs="Arial"/>
          <w:lang w:eastAsia="en-US"/>
        </w:rPr>
      </w:pPr>
    </w:p>
    <w:sectPr w:rsidR="00DD6363" w:rsidRPr="00891613" w:rsidSect="00A34133">
      <w:head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3746" w14:textId="77777777" w:rsidR="00B961B8" w:rsidRDefault="00B961B8" w:rsidP="00E96086">
      <w:pPr>
        <w:spacing w:after="0" w:line="240" w:lineRule="auto"/>
      </w:pPr>
      <w:r>
        <w:separator/>
      </w:r>
    </w:p>
  </w:endnote>
  <w:endnote w:type="continuationSeparator" w:id="0">
    <w:p w14:paraId="146B9269" w14:textId="77777777" w:rsidR="00B961B8" w:rsidRDefault="00B961B8" w:rsidP="00E9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589F" w14:textId="77777777" w:rsidR="00B961B8" w:rsidRDefault="00B961B8" w:rsidP="00E96086">
      <w:pPr>
        <w:spacing w:after="0" w:line="240" w:lineRule="auto"/>
      </w:pPr>
      <w:r>
        <w:separator/>
      </w:r>
    </w:p>
  </w:footnote>
  <w:footnote w:type="continuationSeparator" w:id="0">
    <w:p w14:paraId="4FFF5E43" w14:textId="77777777" w:rsidR="00B961B8" w:rsidRDefault="00B961B8" w:rsidP="00E9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360C" w14:textId="77777777" w:rsidR="00345541" w:rsidRPr="00E96086" w:rsidRDefault="00345541" w:rsidP="00345541">
    <w:pPr>
      <w:pStyle w:val="Zaglavlje"/>
      <w:jc w:val="cent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86"/>
    <w:rsid w:val="00053D88"/>
    <w:rsid w:val="00090615"/>
    <w:rsid w:val="0009683D"/>
    <w:rsid w:val="000A350D"/>
    <w:rsid w:val="000E5B5A"/>
    <w:rsid w:val="00104485"/>
    <w:rsid w:val="001907B5"/>
    <w:rsid w:val="00327CB3"/>
    <w:rsid w:val="00345541"/>
    <w:rsid w:val="00362235"/>
    <w:rsid w:val="003A21F1"/>
    <w:rsid w:val="003D41E4"/>
    <w:rsid w:val="003E4187"/>
    <w:rsid w:val="00487095"/>
    <w:rsid w:val="00504138"/>
    <w:rsid w:val="005A17BA"/>
    <w:rsid w:val="005B0986"/>
    <w:rsid w:val="006D3C6C"/>
    <w:rsid w:val="00710D22"/>
    <w:rsid w:val="00786881"/>
    <w:rsid w:val="00827264"/>
    <w:rsid w:val="00861A01"/>
    <w:rsid w:val="00891613"/>
    <w:rsid w:val="00921C8F"/>
    <w:rsid w:val="00A34133"/>
    <w:rsid w:val="00AC2B59"/>
    <w:rsid w:val="00B05625"/>
    <w:rsid w:val="00B233BE"/>
    <w:rsid w:val="00B85C09"/>
    <w:rsid w:val="00B961B8"/>
    <w:rsid w:val="00D427D8"/>
    <w:rsid w:val="00DC794E"/>
    <w:rsid w:val="00DD6363"/>
    <w:rsid w:val="00E45667"/>
    <w:rsid w:val="00E738EC"/>
    <w:rsid w:val="00E96086"/>
    <w:rsid w:val="00EC347B"/>
    <w:rsid w:val="00EC7CFE"/>
    <w:rsid w:val="00F54F1D"/>
    <w:rsid w:val="00F742DA"/>
    <w:rsid w:val="00FF0B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8569"/>
  <w15:docId w15:val="{3ECF4878-E804-434F-A335-27BF1249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86"/>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uiPriority w:val="35"/>
    <w:qFormat/>
    <w:rsid w:val="005B0986"/>
    <w:rPr>
      <w:rFonts w:ascii="Calibri" w:eastAsia="Calibri" w:hAnsi="Calibri" w:cs="Times New Roman"/>
      <w:b/>
      <w:bCs/>
      <w:sz w:val="20"/>
      <w:szCs w:val="20"/>
      <w:lang w:eastAsia="en-US"/>
    </w:rPr>
  </w:style>
  <w:style w:type="paragraph" w:styleId="Zaglavlje">
    <w:name w:val="header"/>
    <w:basedOn w:val="Normal"/>
    <w:link w:val="ZaglavljeChar"/>
    <w:uiPriority w:val="99"/>
    <w:unhideWhenUsed/>
    <w:rsid w:val="00E9608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6086"/>
    <w:rPr>
      <w:rFonts w:eastAsiaTheme="minorEastAsia"/>
      <w:lang w:eastAsia="zh-CN"/>
    </w:rPr>
  </w:style>
  <w:style w:type="paragraph" w:styleId="Podnoje">
    <w:name w:val="footer"/>
    <w:basedOn w:val="Normal"/>
    <w:link w:val="PodnojeChar"/>
    <w:uiPriority w:val="99"/>
    <w:unhideWhenUsed/>
    <w:rsid w:val="00E9608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6086"/>
    <w:rPr>
      <w:rFonts w:eastAsiaTheme="minorEastAsia"/>
      <w:lang w:eastAsia="zh-CN"/>
    </w:rPr>
  </w:style>
  <w:style w:type="paragraph" w:styleId="Bezproreda">
    <w:name w:val="No Spacing"/>
    <w:uiPriority w:val="1"/>
    <w:qFormat/>
    <w:rsid w:val="00AC2B5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608</Words>
  <Characters>3470</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Deana Petravić Sokol</cp:lastModifiedBy>
  <cp:revision>22</cp:revision>
  <dcterms:created xsi:type="dcterms:W3CDTF">2023-11-28T07:30:00Z</dcterms:created>
  <dcterms:modified xsi:type="dcterms:W3CDTF">2023-11-28T12:03:00Z</dcterms:modified>
</cp:coreProperties>
</file>