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252A7B"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07</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siječnja 2022</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F70AC3">
        <w:rPr>
          <w:rFonts w:ascii="Times New Roman" w:hAnsi="Times New Roman" w:cs="Times New Roman"/>
          <w:color w:val="000000"/>
          <w:sz w:val="24"/>
          <w:szCs w:val="24"/>
        </w:rPr>
        <w:t>stručnog suradnika za zaštitu od požara, zaštitu i spašavanje i sigurnost na radu</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252A7B">
        <w:rPr>
          <w:rFonts w:ascii="Times New Roman" w:hAnsi="Times New Roman" w:cs="Times New Roman"/>
          <w:color w:val="000000"/>
          <w:sz w:val="24"/>
          <w:szCs w:val="24"/>
        </w:rPr>
        <w:t>2</w:t>
      </w:r>
      <w:r w:rsidR="00A13530" w:rsidRPr="00BB48D7">
        <w:rPr>
          <w:rFonts w:ascii="Times New Roman" w:hAnsi="Times New Roman" w:cs="Times New Roman"/>
          <w:color w:val="000000"/>
          <w:sz w:val="24"/>
          <w:szCs w:val="24"/>
        </w:rPr>
        <w:t xml:space="preserve"> dana </w:t>
      </w:r>
      <w:r w:rsidR="00252A7B">
        <w:rPr>
          <w:rFonts w:ascii="Times New Roman" w:hAnsi="Times New Roman" w:cs="Times New Roman"/>
          <w:color w:val="000000"/>
          <w:sz w:val="24"/>
          <w:szCs w:val="24"/>
        </w:rPr>
        <w:t>05</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252A7B">
        <w:rPr>
          <w:rFonts w:ascii="Times New Roman" w:hAnsi="Times New Roman" w:cs="Times New Roman"/>
          <w:color w:val="000000"/>
          <w:sz w:val="24"/>
          <w:szCs w:val="24"/>
        </w:rPr>
        <w:t>siječnja 2022</w:t>
      </w:r>
      <w:r w:rsidR="00A13530" w:rsidRPr="00BB48D7">
        <w:rPr>
          <w:rFonts w:ascii="Times New Roman" w:hAnsi="Times New Roman" w:cs="Times New Roman"/>
          <w:color w:val="000000"/>
          <w:sz w:val="24"/>
          <w:szCs w:val="24"/>
        </w:rPr>
        <w:t xml:space="preserve">. godine. Prijave na natječaj se podnose u roku od 8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F21B4F">
        <w:rPr>
          <w:rFonts w:ascii="Times New Roman" w:hAnsi="Times New Roman" w:cs="Times New Roman"/>
          <w:sz w:val="24"/>
          <w:szCs w:val="24"/>
        </w:rPr>
        <w:t>vni natječaj ističe s danom 13</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252A7B">
        <w:rPr>
          <w:rFonts w:ascii="Times New Roman" w:hAnsi="Times New Roman" w:cs="Times New Roman"/>
          <w:sz w:val="24"/>
          <w:szCs w:val="24"/>
        </w:rPr>
        <w:t xml:space="preserve">siječnja </w:t>
      </w:r>
      <w:r w:rsidR="00F21B4F">
        <w:rPr>
          <w:rFonts w:ascii="Times New Roman" w:hAnsi="Times New Roman" w:cs="Times New Roman"/>
          <w:sz w:val="24"/>
          <w:szCs w:val="24"/>
        </w:rPr>
        <w:t>202</w:t>
      </w:r>
      <w:r w:rsidR="00252A7B">
        <w:rPr>
          <w:rFonts w:ascii="Times New Roman" w:hAnsi="Times New Roman" w:cs="Times New Roman"/>
          <w:sz w:val="24"/>
          <w:szCs w:val="24"/>
        </w:rPr>
        <w:t>2</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bookmarkEnd w:id="0"/>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8E0D26">
        <w:rPr>
          <w:rFonts w:ascii="Times New Roman" w:hAnsi="Times New Roman" w:cs="Times New Roman"/>
          <w:sz w:val="24"/>
          <w:szCs w:val="24"/>
        </w:rPr>
        <w:t xml:space="preserve"> </w:t>
      </w:r>
      <w:r w:rsidR="00DE14A8">
        <w:rPr>
          <w:rFonts w:ascii="Times New Roman" w:hAnsi="Times New Roman" w:cs="Times New Roman"/>
          <w:sz w:val="24"/>
          <w:szCs w:val="24"/>
        </w:rPr>
        <w:t xml:space="preserve"> </w:t>
      </w:r>
      <w:r w:rsidR="00F70AC3">
        <w:rPr>
          <w:rFonts w:ascii="Times New Roman" w:hAnsi="Times New Roman" w:cs="Times New Roman"/>
          <w:sz w:val="24"/>
          <w:szCs w:val="24"/>
        </w:rPr>
        <w:t xml:space="preserve">tehničke </w:t>
      </w:r>
      <w:r>
        <w:rPr>
          <w:rFonts w:ascii="Times New Roman" w:hAnsi="Times New Roman" w:cs="Times New Roman"/>
          <w:sz w:val="24"/>
          <w:szCs w:val="24"/>
        </w:rPr>
        <w:t>struke</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F70AC3">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višeg </w:t>
      </w:r>
      <w:r w:rsidR="00DE14A8">
        <w:rPr>
          <w:rFonts w:ascii="Times New Roman" w:hAnsi="Times New Roman" w:cs="Times New Roman"/>
          <w:sz w:val="24"/>
          <w:szCs w:val="24"/>
        </w:rPr>
        <w:t>savjetnika ( 3</w:t>
      </w:r>
      <w:r w:rsidR="006D027A">
        <w:rPr>
          <w:rFonts w:ascii="Times New Roman" w:hAnsi="Times New Roman" w:cs="Times New Roman"/>
          <w:sz w:val="24"/>
          <w:szCs w:val="24"/>
        </w:rPr>
        <w:t>,</w:t>
      </w:r>
      <w:r w:rsidR="00F70AC3">
        <w:rPr>
          <w:rFonts w:ascii="Times New Roman" w:hAnsi="Times New Roman" w:cs="Times New Roman"/>
          <w:sz w:val="24"/>
          <w:szCs w:val="24"/>
        </w:rPr>
        <w:t>00</w:t>
      </w:r>
      <w:r w:rsidRPr="00D72C43">
        <w:rPr>
          <w:rFonts w:ascii="Times New Roman" w:hAnsi="Times New Roman" w:cs="Times New Roman"/>
          <w:sz w:val="24"/>
          <w:szCs w:val="24"/>
        </w:rPr>
        <w:t>) i osnovice koja iznosi 2.556,00 kuna.</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474B93" w:rsidRPr="00474B93" w:rsidRDefault="00474B93" w:rsidP="00474B9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sudjeluje u izradi Proračuna i izrađuje prijedloge akata iz svog djelokruga </w:t>
      </w:r>
    </w:p>
    <w:p w:rsidR="00474B93" w:rsidRPr="00474B93" w:rsidRDefault="00474B93" w:rsidP="00474B9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prati rad ustanova i udruga na području vatrogastva i nadzire rad dimnjačarskih usluga </w:t>
      </w:r>
    </w:p>
    <w:p w:rsidR="00474B93" w:rsidRPr="00474B93" w:rsidRDefault="00474B93" w:rsidP="00474B9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prati i analizira stanje na području zaštite od požara, zaštite i spašavanja i sigurnosti objekata te predlaže poduzimanje odgovarajućih mjera </w:t>
      </w:r>
    </w:p>
    <w:p w:rsidR="00474B93" w:rsidRPr="00474B93" w:rsidRDefault="00474B93" w:rsidP="00474B9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 xml:space="preserve">obavlja poslove vezane za kapitalne i tekuće donacije Vatrogasnoj zajednici i DVD-a na području grada Siska </w:t>
      </w:r>
    </w:p>
    <w:p w:rsidR="00474B93" w:rsidRPr="00474B93" w:rsidRDefault="00474B93" w:rsidP="00474B9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vodi brigu o održavanju skloništa civilne zaštite</w:t>
      </w:r>
    </w:p>
    <w:p w:rsidR="00474B93" w:rsidRPr="00474B93" w:rsidRDefault="00474B93" w:rsidP="00474B9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ažurira plan zaštite od požara, plan zaštite na radu te plan zaštite i spašavanja</w:t>
      </w:r>
    </w:p>
    <w:p w:rsidR="00474B93" w:rsidRPr="00474B93" w:rsidRDefault="00474B93" w:rsidP="00474B93">
      <w:pPr>
        <w:numPr>
          <w:ilvl w:val="0"/>
          <w:numId w:val="6"/>
        </w:numPr>
        <w:spacing w:before="100" w:beforeAutospacing="1"/>
        <w:contextualSpacing/>
        <w:rPr>
          <w:rFonts w:ascii="Times New Roman" w:hAnsi="Times New Roman" w:cs="Times New Roman"/>
          <w:sz w:val="24"/>
          <w:szCs w:val="24"/>
        </w:rPr>
      </w:pPr>
      <w:r w:rsidRPr="00474B93">
        <w:rPr>
          <w:rFonts w:ascii="Times New Roman" w:hAnsi="Times New Roman" w:cs="Times New Roman"/>
          <w:sz w:val="24"/>
          <w:szCs w:val="24"/>
        </w:rPr>
        <w:t>obavlja poslove vezane za osposobljavanje radnika na siguran način iz područja zaštite na radu i zaštite od požara</w:t>
      </w:r>
    </w:p>
    <w:p w:rsidR="00F70AC3" w:rsidRPr="00474B93" w:rsidRDefault="00474B93" w:rsidP="00CB7E49">
      <w:pPr>
        <w:numPr>
          <w:ilvl w:val="0"/>
          <w:numId w:val="6"/>
        </w:numPr>
        <w:overflowPunct w:val="0"/>
        <w:autoSpaceDE w:val="0"/>
        <w:autoSpaceDN w:val="0"/>
        <w:adjustRightInd w:val="0"/>
        <w:spacing w:before="100" w:beforeAutospacing="1"/>
        <w:contextualSpacing/>
        <w:rPr>
          <w:rFonts w:ascii="Times New Roman" w:hAnsi="Times New Roman"/>
          <w:sz w:val="24"/>
          <w:szCs w:val="24"/>
        </w:rPr>
      </w:pPr>
      <w:r w:rsidRPr="00474B93">
        <w:rPr>
          <w:rFonts w:ascii="Times New Roman" w:hAnsi="Times New Roman" w:cs="Times New Roman"/>
          <w:sz w:val="24"/>
          <w:szCs w:val="24"/>
        </w:rPr>
        <w:t xml:space="preserve">obavlja i ostale poslove po nalogu voditelja Odsjeka i pročelnika Odjela </w:t>
      </w:r>
    </w:p>
    <w:p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Kandidati moraju ispunjavati i opće uvjete za prijam u službu propisane člankom 12. Zakona o službenicima i namještenicima u lokalnoj i područnoj (regionalnoj) samoupravi. U službu </w:t>
      </w:r>
      <w:r w:rsidRPr="00D72C43">
        <w:rPr>
          <w:rFonts w:ascii="Times New Roman" w:hAnsi="Times New Roman" w:cs="Times New Roman"/>
          <w:sz w:val="24"/>
          <w:szCs w:val="24"/>
        </w:rPr>
        <w:lastRenderedPageBreak/>
        <w:t>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474B93">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474B93">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Urednom prijavom smatra se prijava koja sadrži sve podatke i priloge navedene u natječaju.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474B93">
        <w:rPr>
          <w:rFonts w:ascii="Times New Roman" w:hAnsi="Times New Roman" w:cs="Times New Roman"/>
          <w:sz w:val="24"/>
          <w:szCs w:val="24"/>
        </w:rPr>
        <w:t>stručni suradnik za zaštitu od požara, zaštitu i spašavanje i sigurnost na radu</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lastRenderedPageBreak/>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301BAD">
        <w:rPr>
          <w:rFonts w:ascii="Times New Roman" w:hAnsi="Times New Roman" w:cs="Times New Roman"/>
          <w:sz w:val="24"/>
          <w:szCs w:val="24"/>
        </w:rPr>
        <w:t>u ulici Marijana Cvetkovića 8</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2A36CC"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84275B" w:rsidRPr="0084275B" w:rsidRDefault="0084275B" w:rsidP="0084275B">
      <w:pPr>
        <w:rPr>
          <w:rFonts w:ascii="Times New Roman" w:hAnsi="Times New Roman" w:cs="Times New Roman"/>
          <w:sz w:val="24"/>
          <w:szCs w:val="24"/>
        </w:rPr>
      </w:pPr>
      <w:r w:rsidRPr="0084275B">
        <w:rPr>
          <w:rFonts w:ascii="Times New Roman" w:hAnsi="Times New Roman" w:cs="Times New Roman"/>
          <w:sz w:val="24"/>
          <w:szCs w:val="24"/>
        </w:rPr>
        <w:t>- Zakon o zaštiti na radu („Narodne novine“, broj 71/14, 118/14, 154/14, 94/18 i 96/18)  </w:t>
      </w:r>
    </w:p>
    <w:p w:rsidR="0084275B" w:rsidRPr="0084275B" w:rsidRDefault="0084275B" w:rsidP="0084275B">
      <w:pPr>
        <w:rPr>
          <w:rFonts w:ascii="Times New Roman" w:hAnsi="Times New Roman" w:cs="Times New Roman"/>
          <w:sz w:val="24"/>
          <w:szCs w:val="24"/>
        </w:rPr>
      </w:pPr>
      <w:r w:rsidRPr="0084275B">
        <w:rPr>
          <w:rFonts w:ascii="Times New Roman" w:hAnsi="Times New Roman" w:cs="Times New Roman"/>
          <w:sz w:val="24"/>
          <w:szCs w:val="24"/>
        </w:rPr>
        <w:t xml:space="preserve">- Zakon o vatrogastvu („Narodne novine“, broj 125/19) </w:t>
      </w:r>
    </w:p>
    <w:p w:rsidR="0084275B" w:rsidRPr="0084275B" w:rsidRDefault="0084275B" w:rsidP="0084275B">
      <w:pPr>
        <w:rPr>
          <w:rFonts w:ascii="Times New Roman" w:hAnsi="Times New Roman" w:cs="Times New Roman"/>
          <w:sz w:val="24"/>
          <w:szCs w:val="24"/>
        </w:rPr>
      </w:pPr>
      <w:r w:rsidRPr="0084275B">
        <w:rPr>
          <w:rFonts w:ascii="Times New Roman" w:hAnsi="Times New Roman" w:cs="Times New Roman"/>
          <w:sz w:val="24"/>
          <w:szCs w:val="24"/>
        </w:rPr>
        <w:t>- Zakon o sustavu civilne zaštite („Narodne novine“, broj 82/15, 118/18, 31/20 i 20/21)  </w:t>
      </w:r>
    </w:p>
    <w:p w:rsidR="0084275B" w:rsidRPr="0084275B" w:rsidRDefault="0084275B" w:rsidP="0084275B">
      <w:pPr>
        <w:rPr>
          <w:rFonts w:ascii="Times New Roman" w:hAnsi="Times New Roman" w:cs="Times New Roman"/>
          <w:sz w:val="24"/>
          <w:szCs w:val="24"/>
        </w:rPr>
      </w:pPr>
      <w:r w:rsidRPr="0084275B">
        <w:rPr>
          <w:rFonts w:ascii="Times New Roman" w:hAnsi="Times New Roman" w:cs="Times New Roman"/>
          <w:sz w:val="24"/>
          <w:szCs w:val="24"/>
        </w:rPr>
        <w:t xml:space="preserve">- Zakon o ublažavanju i uklanjanju posljedica prirodnih nepogoda („Narodne novine“, broj 16/19) </w:t>
      </w:r>
    </w:p>
    <w:p w:rsidR="0084275B" w:rsidRPr="0084275B" w:rsidRDefault="0084275B" w:rsidP="0084275B">
      <w:pPr>
        <w:spacing w:line="480" w:lineRule="auto"/>
        <w:rPr>
          <w:rFonts w:ascii="Times New Roman" w:hAnsi="Times New Roman" w:cs="Times New Roman"/>
          <w:sz w:val="24"/>
          <w:szCs w:val="24"/>
        </w:rPr>
      </w:pPr>
      <w:r w:rsidRPr="0084275B">
        <w:rPr>
          <w:rFonts w:ascii="Times New Roman" w:hAnsi="Times New Roman" w:cs="Times New Roman"/>
          <w:sz w:val="24"/>
          <w:szCs w:val="24"/>
        </w:rPr>
        <w:t>- Zakon o zaštiti od požara („Narodne novine“, broj  92/10)</w:t>
      </w:r>
    </w:p>
    <w:p w:rsidR="003E3A97" w:rsidRPr="0084275B" w:rsidRDefault="003E3A97" w:rsidP="003E3A97">
      <w:pPr>
        <w:rPr>
          <w:rFonts w:ascii="Times New Roman" w:hAnsi="Times New Roman" w:cs="Times New Roman"/>
          <w:sz w:val="24"/>
          <w:szCs w:val="24"/>
          <w:lang w:eastAsia="ko-KR"/>
        </w:rPr>
      </w:pPr>
    </w:p>
    <w:p w:rsidR="00A031F4" w:rsidRDefault="00A031F4" w:rsidP="00A031F4">
      <w:pPr>
        <w:pStyle w:val="Odlomakpopisa"/>
      </w:pPr>
    </w:p>
    <w:p w:rsidR="00A031F4" w:rsidRPr="002A36CC" w:rsidRDefault="00A031F4" w:rsidP="002A36CC">
      <w:pPr>
        <w:pStyle w:val="Tijeloteksta3"/>
        <w:rPr>
          <w:rFonts w:ascii="Times New Roman" w:hAnsi="Times New Roman" w:cs="Times New Roman"/>
          <w:b/>
          <w:sz w:val="24"/>
          <w:szCs w:val="24"/>
        </w:rPr>
      </w:pPr>
    </w:p>
    <w:sectPr w:rsidR="00A031F4" w:rsidRPr="002A3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C6822"/>
    <w:rsid w:val="000E6550"/>
    <w:rsid w:val="00156ECB"/>
    <w:rsid w:val="001B7A80"/>
    <w:rsid w:val="001E77C5"/>
    <w:rsid w:val="00230108"/>
    <w:rsid w:val="00245FBC"/>
    <w:rsid w:val="00246D64"/>
    <w:rsid w:val="00252A7B"/>
    <w:rsid w:val="002623ED"/>
    <w:rsid w:val="002772D7"/>
    <w:rsid w:val="002A36CC"/>
    <w:rsid w:val="002A44B5"/>
    <w:rsid w:val="00301BAD"/>
    <w:rsid w:val="00317890"/>
    <w:rsid w:val="00335E2E"/>
    <w:rsid w:val="00365BE4"/>
    <w:rsid w:val="0038697E"/>
    <w:rsid w:val="003C310B"/>
    <w:rsid w:val="003D00FF"/>
    <w:rsid w:val="003D2222"/>
    <w:rsid w:val="003E3A97"/>
    <w:rsid w:val="003F3446"/>
    <w:rsid w:val="00430575"/>
    <w:rsid w:val="00474B93"/>
    <w:rsid w:val="00476926"/>
    <w:rsid w:val="004C10EB"/>
    <w:rsid w:val="004C5DF5"/>
    <w:rsid w:val="005100BF"/>
    <w:rsid w:val="005459AD"/>
    <w:rsid w:val="00555B03"/>
    <w:rsid w:val="005603CB"/>
    <w:rsid w:val="00622D14"/>
    <w:rsid w:val="006A3FE6"/>
    <w:rsid w:val="006D027A"/>
    <w:rsid w:val="006F6D56"/>
    <w:rsid w:val="00801663"/>
    <w:rsid w:val="00823036"/>
    <w:rsid w:val="0084275B"/>
    <w:rsid w:val="00847D61"/>
    <w:rsid w:val="008A79B6"/>
    <w:rsid w:val="008E0D26"/>
    <w:rsid w:val="009C3FE8"/>
    <w:rsid w:val="00A031F4"/>
    <w:rsid w:val="00A13530"/>
    <w:rsid w:val="00A758B0"/>
    <w:rsid w:val="00A929BB"/>
    <w:rsid w:val="00AB2D0E"/>
    <w:rsid w:val="00AF22D8"/>
    <w:rsid w:val="00B01801"/>
    <w:rsid w:val="00B27F2A"/>
    <w:rsid w:val="00BB48D7"/>
    <w:rsid w:val="00BD37DF"/>
    <w:rsid w:val="00BD7093"/>
    <w:rsid w:val="00BF5396"/>
    <w:rsid w:val="00CE2925"/>
    <w:rsid w:val="00D55C31"/>
    <w:rsid w:val="00D62F9E"/>
    <w:rsid w:val="00D72C43"/>
    <w:rsid w:val="00D80D9C"/>
    <w:rsid w:val="00DE14A8"/>
    <w:rsid w:val="00DE3CA9"/>
    <w:rsid w:val="00E53872"/>
    <w:rsid w:val="00E60FB7"/>
    <w:rsid w:val="00EC2F4D"/>
    <w:rsid w:val="00F14155"/>
    <w:rsid w:val="00F21B4F"/>
    <w:rsid w:val="00F70AC3"/>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1014650883">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E017-5B6F-41EE-B465-DB679E23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Marija Garba</cp:lastModifiedBy>
  <cp:revision>2</cp:revision>
  <dcterms:created xsi:type="dcterms:W3CDTF">2022-01-07T11:28:00Z</dcterms:created>
  <dcterms:modified xsi:type="dcterms:W3CDTF">2022-01-07T11:28:00Z</dcterms:modified>
</cp:coreProperties>
</file>