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30" w:rsidRPr="00BB48D7" w:rsidRDefault="005603CB" w:rsidP="005603CB">
      <w:pPr>
        <w:pStyle w:val="Naslov2"/>
        <w:rPr>
          <w:rFonts w:ascii="Times New Roman" w:hAnsi="Times New Roman" w:cs="Times New Roman"/>
          <w:color w:val="000000"/>
          <w:sz w:val="24"/>
          <w:szCs w:val="24"/>
        </w:rPr>
      </w:pPr>
      <w:bookmarkStart w:id="0" w:name="_GoBack"/>
      <w:bookmarkEnd w:id="0"/>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p>
    <w:p w:rsidR="00A13530" w:rsidRPr="00BB48D7" w:rsidRDefault="00252A7B" w:rsidP="00A13530">
      <w:pPr>
        <w:rPr>
          <w:rFonts w:ascii="Times New Roman" w:hAnsi="Times New Roman" w:cs="Times New Roman"/>
          <w:color w:val="000000"/>
          <w:sz w:val="24"/>
          <w:szCs w:val="24"/>
        </w:rPr>
      </w:pPr>
      <w:r>
        <w:rPr>
          <w:rFonts w:ascii="Times New Roman" w:hAnsi="Times New Roman" w:cs="Times New Roman"/>
          <w:color w:val="000000"/>
          <w:sz w:val="24"/>
          <w:szCs w:val="24"/>
        </w:rPr>
        <w:t>Sisak, 07</w:t>
      </w:r>
      <w:r w:rsidR="00A13530" w:rsidRPr="00BB48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siječnja 2022</w:t>
      </w:r>
      <w:r w:rsidR="00A13530" w:rsidRPr="00BB48D7">
        <w:rPr>
          <w:rFonts w:ascii="Times New Roman" w:hAnsi="Times New Roman" w:cs="Times New Roman"/>
          <w:color w:val="000000"/>
          <w:sz w:val="24"/>
          <w:szCs w:val="24"/>
        </w:rPr>
        <w:t>. godine</w:t>
      </w:r>
    </w:p>
    <w:p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CF4774">
        <w:rPr>
          <w:rFonts w:ascii="Times New Roman" w:hAnsi="Times New Roman" w:cs="Times New Roman"/>
          <w:color w:val="000000"/>
          <w:sz w:val="24"/>
          <w:szCs w:val="24"/>
        </w:rPr>
        <w:t>proračun i financije</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CF4774">
        <w:rPr>
          <w:rFonts w:ascii="Times New Roman" w:hAnsi="Times New Roman" w:cs="Times New Roman"/>
          <w:color w:val="000000"/>
          <w:sz w:val="24"/>
          <w:szCs w:val="24"/>
        </w:rPr>
        <w:t>stručnog suradnika-glavni knjigovođa</w:t>
      </w:r>
      <w:r w:rsidR="008E0D26">
        <w:rPr>
          <w:rFonts w:ascii="Times New Roman" w:hAnsi="Times New Roman" w:cs="Times New Roman"/>
          <w:color w:val="000000"/>
          <w:sz w:val="24"/>
          <w:szCs w:val="24"/>
        </w:rPr>
        <w:t xml:space="preserve"> na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sidR="00252A7B">
        <w:rPr>
          <w:rFonts w:ascii="Times New Roman" w:hAnsi="Times New Roman" w:cs="Times New Roman"/>
          <w:color w:val="000000"/>
          <w:sz w:val="24"/>
          <w:szCs w:val="24"/>
        </w:rPr>
        <w:t>2</w:t>
      </w:r>
      <w:r w:rsidR="00A13530" w:rsidRPr="00BB48D7">
        <w:rPr>
          <w:rFonts w:ascii="Times New Roman" w:hAnsi="Times New Roman" w:cs="Times New Roman"/>
          <w:color w:val="000000"/>
          <w:sz w:val="24"/>
          <w:szCs w:val="24"/>
        </w:rPr>
        <w:t xml:space="preserve"> dana </w:t>
      </w:r>
      <w:r w:rsidR="00252A7B">
        <w:rPr>
          <w:rFonts w:ascii="Times New Roman" w:hAnsi="Times New Roman" w:cs="Times New Roman"/>
          <w:color w:val="000000"/>
          <w:sz w:val="24"/>
          <w:szCs w:val="24"/>
        </w:rPr>
        <w:t>05</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252A7B">
        <w:rPr>
          <w:rFonts w:ascii="Times New Roman" w:hAnsi="Times New Roman" w:cs="Times New Roman"/>
          <w:color w:val="000000"/>
          <w:sz w:val="24"/>
          <w:szCs w:val="24"/>
        </w:rPr>
        <w:t>siječnja 2022</w:t>
      </w:r>
      <w:r w:rsidR="00A13530" w:rsidRPr="00BB48D7">
        <w:rPr>
          <w:rFonts w:ascii="Times New Roman" w:hAnsi="Times New Roman" w:cs="Times New Roman"/>
          <w:color w:val="000000"/>
          <w:sz w:val="24"/>
          <w:szCs w:val="24"/>
        </w:rPr>
        <w:t xml:space="preserve">. godine. Prijave na natječaj se podnose u roku od 8 dana od dana objave natječaja u Narodnim novinama. </w:t>
      </w:r>
    </w:p>
    <w:p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F21B4F">
        <w:rPr>
          <w:rFonts w:ascii="Times New Roman" w:hAnsi="Times New Roman" w:cs="Times New Roman"/>
          <w:sz w:val="24"/>
          <w:szCs w:val="24"/>
        </w:rPr>
        <w:t>vni natječaj ističe s danom 13</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252A7B">
        <w:rPr>
          <w:rFonts w:ascii="Times New Roman" w:hAnsi="Times New Roman" w:cs="Times New Roman"/>
          <w:sz w:val="24"/>
          <w:szCs w:val="24"/>
        </w:rPr>
        <w:t xml:space="preserve">siječnja </w:t>
      </w:r>
      <w:r w:rsidR="00F21B4F">
        <w:rPr>
          <w:rFonts w:ascii="Times New Roman" w:hAnsi="Times New Roman" w:cs="Times New Roman"/>
          <w:sz w:val="24"/>
          <w:szCs w:val="24"/>
        </w:rPr>
        <w:t>202</w:t>
      </w:r>
      <w:r w:rsidR="00252A7B">
        <w:rPr>
          <w:rFonts w:ascii="Times New Roman" w:hAnsi="Times New Roman" w:cs="Times New Roman"/>
          <w:sz w:val="24"/>
          <w:szCs w:val="24"/>
        </w:rPr>
        <w:t>2</w:t>
      </w:r>
      <w:r w:rsidRPr="00365BE4">
        <w:rPr>
          <w:rFonts w:ascii="Times New Roman" w:hAnsi="Times New Roman" w:cs="Times New Roman"/>
          <w:sz w:val="24"/>
          <w:szCs w:val="24"/>
        </w:rPr>
        <w:t>. godine.</w:t>
      </w:r>
    </w:p>
    <w:p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w:t>
      </w:r>
      <w:r w:rsidR="00CF4774">
        <w:rPr>
          <w:rFonts w:ascii="Times New Roman" w:hAnsi="Times New Roman" w:cs="Times New Roman"/>
          <w:sz w:val="24"/>
          <w:szCs w:val="24"/>
        </w:rPr>
        <w:t>sveučilišni ili stručni prvostupnik</w:t>
      </w:r>
      <w:r>
        <w:rPr>
          <w:rFonts w:ascii="Times New Roman" w:hAnsi="Times New Roman" w:cs="Times New Roman"/>
          <w:sz w:val="24"/>
          <w:szCs w:val="24"/>
        </w:rPr>
        <w:t xml:space="preserve"> </w:t>
      </w:r>
      <w:r w:rsidR="00CF4774">
        <w:rPr>
          <w:rFonts w:ascii="Times New Roman" w:hAnsi="Times New Roman" w:cs="Times New Roman"/>
          <w:sz w:val="24"/>
          <w:szCs w:val="24"/>
        </w:rPr>
        <w:t xml:space="preserve">ekonomske, društvene ili informatičke </w:t>
      </w:r>
      <w:r>
        <w:rPr>
          <w:rFonts w:ascii="Times New Roman" w:hAnsi="Times New Roman" w:cs="Times New Roman"/>
          <w:sz w:val="24"/>
          <w:szCs w:val="24"/>
        </w:rPr>
        <w:t>struke</w:t>
      </w:r>
      <w:r w:rsidRPr="00D72C43">
        <w:rPr>
          <w:rFonts w:ascii="Times New Roman" w:hAnsi="Times New Roman" w:cs="Times New Roman"/>
          <w:sz w:val="24"/>
          <w:szCs w:val="24"/>
        </w:rPr>
        <w:t xml:space="preserve">, </w:t>
      </w:r>
    </w:p>
    <w:p w:rsidR="00D72C43" w:rsidRP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CF4774">
        <w:rPr>
          <w:rFonts w:ascii="Times New Roman" w:hAnsi="Times New Roman" w:cs="Times New Roman"/>
          <w:sz w:val="24"/>
          <w:szCs w:val="24"/>
        </w:rPr>
        <w:t>tri</w:t>
      </w:r>
      <w:r w:rsidR="00DE14A8">
        <w:rPr>
          <w:rFonts w:ascii="Times New Roman" w:hAnsi="Times New Roman" w:cs="Times New Roman"/>
          <w:sz w:val="24"/>
          <w:szCs w:val="24"/>
        </w:rPr>
        <w:t xml:space="preserve"> godine</w:t>
      </w:r>
      <w:r w:rsidRPr="00D72C43">
        <w:rPr>
          <w:rFonts w:ascii="Times New Roman" w:hAnsi="Times New Roman" w:cs="Times New Roman"/>
          <w:sz w:val="24"/>
          <w:szCs w:val="24"/>
        </w:rPr>
        <w:t xml:space="preserve"> radnog iskustva na odgovarajućim poslovima,</w:t>
      </w:r>
    </w:p>
    <w:p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D72C43" w:rsidRPr="00D72C43">
        <w:rPr>
          <w:rFonts w:ascii="Times New Roman" w:hAnsi="Times New Roman" w:cs="Times New Roman"/>
          <w:sz w:val="24"/>
          <w:szCs w:val="24"/>
        </w:rPr>
        <w:t xml:space="preserve"> položen državni ispit, </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rsidR="00D72C43" w:rsidRPr="00D72C43" w:rsidRDefault="00D72C43"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6D027A">
        <w:rPr>
          <w:rFonts w:ascii="Times New Roman" w:hAnsi="Times New Roman" w:cs="Times New Roman"/>
          <w:sz w:val="24"/>
          <w:szCs w:val="24"/>
        </w:rPr>
        <w:t xml:space="preserve">sta </w:t>
      </w:r>
      <w:r w:rsidR="00CF4774">
        <w:rPr>
          <w:rFonts w:ascii="Times New Roman" w:hAnsi="Times New Roman" w:cs="Times New Roman"/>
          <w:sz w:val="24"/>
          <w:szCs w:val="24"/>
        </w:rPr>
        <w:t>stručnog suradnika-glavnog knjigovođe ( 2</w:t>
      </w:r>
      <w:r w:rsidR="006D027A">
        <w:rPr>
          <w:rFonts w:ascii="Times New Roman" w:hAnsi="Times New Roman" w:cs="Times New Roman"/>
          <w:sz w:val="24"/>
          <w:szCs w:val="24"/>
        </w:rPr>
        <w:t>,</w:t>
      </w:r>
      <w:r w:rsidR="00CF4774">
        <w:rPr>
          <w:rFonts w:ascii="Times New Roman" w:hAnsi="Times New Roman" w:cs="Times New Roman"/>
          <w:sz w:val="24"/>
          <w:szCs w:val="24"/>
        </w:rPr>
        <w:t>91</w:t>
      </w:r>
      <w:r w:rsidRPr="00D72C43">
        <w:rPr>
          <w:rFonts w:ascii="Times New Roman" w:hAnsi="Times New Roman" w:cs="Times New Roman"/>
          <w:sz w:val="24"/>
          <w:szCs w:val="24"/>
        </w:rPr>
        <w:t>) i osnovice koja iznosi 2.556,00 kuna.</w:t>
      </w:r>
    </w:p>
    <w:p w:rsidR="00D72C43" w:rsidRPr="00D72C43" w:rsidRDefault="00D72C43" w:rsidP="00D72C43">
      <w:pPr>
        <w:jc w:val="both"/>
        <w:rPr>
          <w:rFonts w:ascii="Times New Roman" w:hAnsi="Times New Roman" w:cs="Times New Roman"/>
          <w:sz w:val="24"/>
          <w:szCs w:val="24"/>
        </w:rPr>
      </w:pPr>
    </w:p>
    <w:p w:rsidR="00AB2D0E"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rsidR="005948AE" w:rsidRDefault="005948AE" w:rsidP="00D72C43">
      <w:pPr>
        <w:pStyle w:val="Odlomakpopisa1"/>
        <w:spacing w:after="0" w:line="240" w:lineRule="auto"/>
        <w:ind w:left="0"/>
        <w:jc w:val="both"/>
        <w:rPr>
          <w:rFonts w:ascii="Times New Roman" w:hAnsi="Times New Roman"/>
          <w:b/>
          <w:sz w:val="24"/>
          <w:szCs w:val="24"/>
        </w:rPr>
      </w:pPr>
    </w:p>
    <w:p w:rsidR="00CF4774" w:rsidRPr="005948AE" w:rsidRDefault="00CA5911" w:rsidP="00D72C43">
      <w:pPr>
        <w:jc w:val="both"/>
        <w:rPr>
          <w:rFonts w:ascii="Times New Roman" w:hAnsi="Times New Roman" w:cs="Times New Roman"/>
          <w:sz w:val="24"/>
          <w:szCs w:val="24"/>
        </w:rPr>
      </w:pPr>
      <w:r w:rsidRPr="005948AE">
        <w:rPr>
          <w:rFonts w:ascii="Times New Roman" w:eastAsia="Times New Roman" w:hAnsi="Times New Roman" w:cs="Times New Roman"/>
          <w:sz w:val="24"/>
          <w:szCs w:val="24"/>
        </w:rPr>
        <w:t xml:space="preserve">Vrši kontrolu knjigovodstvenih isprava, te na temelju njih kontrolira i knjiži sve poslovne događaje u poslovnim knjigama, ažurno evidentira poslovne promjene u glavnoj knjizi iz analitičkih evidencija, usklađuje podatke s proračunskim korisnicima, Poreznom upravom i drugim trgovačkim društvima koji vode izdvojenu knjigovodstvenu evidenciju o pojedinim potraživanjima i obvezama Grada - knjiži dnevne izvode, usklađuje i proširuje </w:t>
      </w:r>
      <w:proofErr w:type="spellStart"/>
      <w:r w:rsidRPr="005948AE">
        <w:rPr>
          <w:rFonts w:ascii="Times New Roman" w:eastAsia="Times New Roman" w:hAnsi="Times New Roman" w:cs="Times New Roman"/>
          <w:sz w:val="24"/>
          <w:szCs w:val="24"/>
        </w:rPr>
        <w:t>kontni</w:t>
      </w:r>
      <w:proofErr w:type="spellEnd"/>
      <w:r w:rsidRPr="005948AE">
        <w:rPr>
          <w:rFonts w:ascii="Times New Roman" w:eastAsia="Times New Roman" w:hAnsi="Times New Roman" w:cs="Times New Roman"/>
          <w:sz w:val="24"/>
          <w:szCs w:val="24"/>
        </w:rPr>
        <w:t xml:space="preserve"> plan Grada temeljem Proračuna Grada, usklađuje analitiku sa sintetikom i brine o odlaganju i čuvanju financijskih dokumenata,  izrađuje kvartalna, polugodišnja i godišnja financijska izvješća uključujući konsolidirana financijska izvješća</w:t>
      </w:r>
      <w:r w:rsidR="005948AE" w:rsidRPr="005948AE">
        <w:rPr>
          <w:rFonts w:ascii="Times New Roman" w:eastAsia="Times New Roman" w:hAnsi="Times New Roman" w:cs="Times New Roman"/>
          <w:sz w:val="24"/>
          <w:szCs w:val="24"/>
        </w:rPr>
        <w:t xml:space="preserve"> Grada (BIL, PR-RAS i dr.)</w:t>
      </w:r>
      <w:r w:rsidRPr="005948AE">
        <w:rPr>
          <w:rFonts w:ascii="Times New Roman" w:eastAsia="Times New Roman" w:hAnsi="Times New Roman" w:cs="Times New Roman"/>
          <w:sz w:val="24"/>
          <w:szCs w:val="24"/>
        </w:rPr>
        <w:t>.</w:t>
      </w:r>
    </w:p>
    <w:p w:rsidR="00B44EB1" w:rsidRPr="005948AE" w:rsidRDefault="009973CB" w:rsidP="00B44EB1">
      <w:pPr>
        <w:contextualSpacing/>
        <w:jc w:val="both"/>
        <w:rPr>
          <w:rFonts w:ascii="Times New Roman" w:hAnsi="Times New Roman" w:cs="Times New Roman"/>
          <w:sz w:val="24"/>
          <w:szCs w:val="24"/>
        </w:rPr>
      </w:pPr>
      <w:r w:rsidRPr="005948AE">
        <w:rPr>
          <w:rFonts w:ascii="Times New Roman" w:eastAsia="Times New Roman" w:hAnsi="Times New Roman" w:cs="Times New Roman"/>
          <w:color w:val="000000"/>
          <w:sz w:val="24"/>
          <w:szCs w:val="24"/>
        </w:rPr>
        <w:t>Prati i evidentira zahtjeve proračunskih korisnika za isplatu iz proračuna Grada putem lokalne riznice</w:t>
      </w:r>
      <w:r w:rsidR="005948AE" w:rsidRPr="005948AE">
        <w:rPr>
          <w:rFonts w:ascii="Times New Roman" w:eastAsia="Times New Roman" w:hAnsi="Times New Roman" w:cs="Times New Roman"/>
          <w:color w:val="000000"/>
          <w:sz w:val="24"/>
          <w:szCs w:val="24"/>
        </w:rPr>
        <w:t>.</w:t>
      </w:r>
    </w:p>
    <w:p w:rsidR="00B44EB1" w:rsidRPr="005948AE" w:rsidRDefault="00A91BB9" w:rsidP="00B44EB1">
      <w:pPr>
        <w:contextualSpacing/>
        <w:jc w:val="both"/>
        <w:rPr>
          <w:rFonts w:ascii="Times New Roman" w:hAnsi="Times New Roman" w:cs="Times New Roman"/>
          <w:sz w:val="24"/>
          <w:szCs w:val="24"/>
        </w:rPr>
      </w:pPr>
      <w:r w:rsidRPr="005948AE">
        <w:rPr>
          <w:rFonts w:ascii="Times New Roman" w:eastAsia="Times New Roman" w:hAnsi="Times New Roman" w:cs="Times New Roman"/>
          <w:color w:val="000000"/>
          <w:sz w:val="24"/>
          <w:szCs w:val="24"/>
        </w:rPr>
        <w:t>Prati zakone i druge propise iz svog djelokruga rada, stručno obrađuje zadane poslove  te sudjeluje u izradi akata iz svog djelokruga poslovanja</w:t>
      </w:r>
      <w:r w:rsidR="005948AE" w:rsidRPr="005948AE">
        <w:rPr>
          <w:rFonts w:ascii="Times New Roman" w:eastAsia="Times New Roman" w:hAnsi="Times New Roman" w:cs="Times New Roman"/>
          <w:color w:val="000000"/>
          <w:sz w:val="24"/>
          <w:szCs w:val="24"/>
        </w:rPr>
        <w:t>.</w:t>
      </w:r>
    </w:p>
    <w:p w:rsidR="00B44EB1" w:rsidRDefault="005948AE" w:rsidP="00B44EB1">
      <w:pPr>
        <w:contextualSpacing/>
        <w:jc w:val="both"/>
        <w:rPr>
          <w:rFonts w:ascii="Times New Roman" w:hAnsi="Times New Roman" w:cs="Times New Roman"/>
          <w:sz w:val="24"/>
          <w:szCs w:val="24"/>
        </w:rPr>
      </w:pPr>
      <w:r w:rsidRPr="005948AE">
        <w:rPr>
          <w:rFonts w:ascii="Times New Roman" w:eastAsia="Times New Roman" w:hAnsi="Times New Roman" w:cs="Times New Roman"/>
          <w:color w:val="000000"/>
          <w:sz w:val="24"/>
          <w:szCs w:val="24"/>
        </w:rPr>
        <w:t>Obavlja i druge poslove po nalogu pročelnika.</w:t>
      </w:r>
    </w:p>
    <w:p w:rsidR="00B44EB1" w:rsidRDefault="00B44EB1" w:rsidP="00B44EB1">
      <w:pPr>
        <w:contextualSpacing/>
        <w:jc w:val="both"/>
        <w:rPr>
          <w:rFonts w:ascii="Times New Roman" w:hAnsi="Times New Roman" w:cs="Times New Roman"/>
          <w:sz w:val="24"/>
          <w:szCs w:val="24"/>
        </w:rPr>
      </w:pPr>
    </w:p>
    <w:p w:rsidR="00B44EB1" w:rsidRPr="00B44EB1" w:rsidRDefault="00B44EB1" w:rsidP="00B44EB1">
      <w:pPr>
        <w:contextualSpacing/>
        <w:jc w:val="both"/>
        <w:rPr>
          <w:rFonts w:ascii="Times New Roman" w:hAnsi="Times New Roman" w:cs="Times New Roman"/>
          <w:b/>
          <w:sz w:val="24"/>
          <w:szCs w:val="24"/>
        </w:rPr>
      </w:pPr>
      <w:r w:rsidRPr="00B44EB1">
        <w:rPr>
          <w:rFonts w:ascii="Times New Roman" w:hAnsi="Times New Roman" w:cs="Times New Roman"/>
          <w:sz w:val="24"/>
          <w:szCs w:val="24"/>
        </w:rPr>
        <w:t xml:space="preserve">Uvjet sveučilišnog ili stručnog </w:t>
      </w:r>
      <w:proofErr w:type="spellStart"/>
      <w:r w:rsidRPr="00B44EB1">
        <w:rPr>
          <w:rFonts w:ascii="Times New Roman" w:hAnsi="Times New Roman" w:cs="Times New Roman"/>
          <w:sz w:val="24"/>
          <w:szCs w:val="24"/>
        </w:rPr>
        <w:t>prvostupnika</w:t>
      </w:r>
      <w:proofErr w:type="spellEnd"/>
      <w:r w:rsidRPr="00B44EB1">
        <w:rPr>
          <w:rFonts w:ascii="Times New Roman" w:hAnsi="Times New Roman" w:cs="Times New Roman"/>
          <w:sz w:val="24"/>
          <w:szCs w:val="24"/>
        </w:rPr>
        <w:t>, na temelju odredbe članka 35. stavka 2. Uredbe o klasifikaciji radnih mjesta u lokalnoj i područnoj (regionalnoj) samoupravi („Narodne novine“, broj 74/10 i 125/14), ispunjavaju i osobe koje su prema prethodnim propisima stekle višu stručnu spremu.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diplome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5948AE">
        <w:rPr>
          <w:rFonts w:ascii="Times New Roman" w:hAnsi="Times New Roman" w:cs="Times New Roman"/>
          <w:sz w:val="24"/>
          <w:szCs w:val="24"/>
          <w:lang w:val="de-DE"/>
        </w:rPr>
        <w:t>tri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podacima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evidentiranim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matičnoj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evidenciji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w:t>
      </w:r>
      <w:r w:rsidR="002623ED">
        <w:rPr>
          <w:rFonts w:ascii="Times New Roman" w:hAnsi="Times New Roman" w:cs="Times New Roman"/>
          <w:sz w:val="24"/>
          <w:szCs w:val="24"/>
          <w:lang w:val="de-DE"/>
        </w:rPr>
        <w:t>idat</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obavljao</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navedene</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poslove</w:t>
      </w:r>
      <w:proofErr w:type="spellEnd"/>
      <w:r w:rsidR="002623ED">
        <w:rPr>
          <w:rFonts w:ascii="Times New Roman" w:hAnsi="Times New Roman" w:cs="Times New Roman"/>
          <w:sz w:val="24"/>
          <w:szCs w:val="24"/>
          <w:lang w:val="de-DE"/>
        </w:rPr>
        <w:t>) ili</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c)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5948AE">
        <w:rPr>
          <w:rFonts w:ascii="Times New Roman" w:hAnsi="Times New Roman" w:cs="Times New Roman"/>
          <w:sz w:val="24"/>
          <w:szCs w:val="24"/>
          <w:lang w:val="de-DE"/>
        </w:rPr>
        <w:t>tri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sidR="002623ED">
        <w:rPr>
          <w:rFonts w:ascii="Times New Roman" w:hAnsi="Times New Roman" w:cs="Times New Roman"/>
          <w:sz w:val="24"/>
          <w:szCs w:val="24"/>
          <w:lang w:val="de-DE"/>
        </w:rPr>
        <w:t>e</w:t>
      </w:r>
      <w:proofErr w:type="spellEnd"/>
      <w:r w:rsidRPr="00B01801">
        <w:rPr>
          <w:rFonts w:ascii="Times New Roman" w:hAnsi="Times New Roman" w:cs="Times New Roman"/>
          <w:sz w:val="24"/>
          <w:szCs w:val="24"/>
          <w:lang w:val="de-DE"/>
        </w:rPr>
        <w:t>,</w:t>
      </w:r>
    </w:p>
    <w:p w:rsidR="002772D7" w:rsidRPr="00B01801" w:rsidRDefault="00B01801" w:rsidP="00D72C43">
      <w:pPr>
        <w:jc w:val="both"/>
        <w:rPr>
          <w:rFonts w:ascii="Times New Roman" w:hAnsi="Times New Roman" w:cs="Times New Roman"/>
          <w:sz w:val="24"/>
          <w:szCs w:val="24"/>
        </w:rPr>
      </w:pPr>
      <w:r w:rsidRPr="00B01801">
        <w:rPr>
          <w:rFonts w:ascii="Times New Roman" w:hAnsi="Times New Roman" w:cs="Times New Roman"/>
          <w:color w:val="000000"/>
          <w:sz w:val="24"/>
          <w:szCs w:val="24"/>
          <w:lang w:val="de-DE"/>
        </w:rPr>
        <w:t xml:space="preserve"> </w:t>
      </w: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regionalnoj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samoupravi</w:t>
      </w:r>
      <w:proofErr w:type="spellEnd"/>
      <w:r w:rsidRPr="00B01801">
        <w:rPr>
          <w:rFonts w:ascii="Times New Roman" w:hAnsi="Times New Roman" w:cs="Times New Roman"/>
          <w:sz w:val="24"/>
          <w:szCs w:val="24"/>
          <w:lang w:val="de-DE"/>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w:t>
      </w:r>
      <w:r w:rsidRPr="00D72C43">
        <w:rPr>
          <w:rFonts w:ascii="Times New Roman" w:hAnsi="Times New Roman" w:cs="Times New Roman"/>
          <w:strike/>
          <w:sz w:val="24"/>
          <w:szCs w:val="24"/>
        </w:rPr>
        <w:t>i</w:t>
      </w:r>
      <w:r w:rsidRPr="00D72C43">
        <w:rPr>
          <w:rFonts w:ascii="Times New Roman" w:hAnsi="Times New Roman" w:cs="Times New Roman"/>
          <w:sz w:val="24"/>
          <w:szCs w:val="24"/>
        </w:rPr>
        <w:t xml:space="preserve"> će se da ne ispunjava uvjete propisane natječajem.</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evidencijski list Hrvatskog zavoda za zapošljavanje).</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Urednom prijavom smatra se prijava koja sadrži sve podatke i priloge navedene u natječaju.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Prijave s prilozima dostavljaju se na adresu: Grad Sisak, Rimska 26, 44000 Sisak, s obveznom naznakom: ”Prijava na javni natječaj za prijam u službu –</w:t>
      </w:r>
      <w:r w:rsidR="004C5DF5">
        <w:rPr>
          <w:rFonts w:ascii="Times New Roman" w:hAnsi="Times New Roman" w:cs="Times New Roman"/>
          <w:sz w:val="24"/>
          <w:szCs w:val="24"/>
        </w:rPr>
        <w:t xml:space="preserve"> </w:t>
      </w:r>
      <w:r w:rsidR="00674133">
        <w:rPr>
          <w:rFonts w:ascii="Times New Roman" w:hAnsi="Times New Roman" w:cs="Times New Roman"/>
          <w:sz w:val="24"/>
          <w:szCs w:val="24"/>
        </w:rPr>
        <w:t>stručni suradnik-glavni knjigovođa</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lastRenderedPageBreak/>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7"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w:t>
      </w:r>
      <w:r w:rsidR="000A1F39">
        <w:rPr>
          <w:rFonts w:ascii="Times New Roman" w:hAnsi="Times New Roman" w:cs="Times New Roman"/>
          <w:sz w:val="24"/>
          <w:szCs w:val="24"/>
        </w:rPr>
        <w:t>u ulici Marijana Cvetkovića 8</w:t>
      </w:r>
      <w:r w:rsidRPr="00D72C43">
        <w:rPr>
          <w:rFonts w:ascii="Times New Roman" w:hAnsi="Times New Roman" w:cs="Times New Roman"/>
          <w:sz w:val="24"/>
          <w:szCs w:val="24"/>
        </w:rPr>
        <w:t xml:space="preserve">, najkasnije pet dana prije održavanja provjere. </w:t>
      </w:r>
    </w:p>
    <w:p w:rsidR="002A36CC" w:rsidRDefault="002A36CC" w:rsidP="002A36CC">
      <w:pPr>
        <w:pStyle w:val="Tijeloteksta3"/>
      </w:pPr>
      <w:r>
        <w:t xml:space="preserve">        </w:t>
      </w:r>
    </w:p>
    <w:p w:rsidR="00DA5337" w:rsidRDefault="002A36CC" w:rsidP="002A36CC">
      <w:pPr>
        <w:pStyle w:val="Tijeloteksta3"/>
        <w:rPr>
          <w:rFonts w:ascii="Times New Roman" w:hAnsi="Times New Roman" w:cs="Times New Roman"/>
          <w:b/>
          <w:sz w:val="24"/>
          <w:szCs w:val="24"/>
        </w:rPr>
      </w:pPr>
      <w:r>
        <w:t xml:space="preserve"> </w:t>
      </w:r>
      <w:r w:rsidRPr="002A36CC">
        <w:rPr>
          <w:rFonts w:ascii="Times New Roman" w:hAnsi="Times New Roman" w:cs="Times New Roman"/>
          <w:b/>
          <w:sz w:val="24"/>
          <w:szCs w:val="24"/>
        </w:rPr>
        <w:t>Pravni i drugi izvori za pripremanje kandidata za testiranje:</w:t>
      </w:r>
    </w:p>
    <w:p w:rsidR="00DA5337" w:rsidRPr="00DA5337" w:rsidRDefault="00DA5337" w:rsidP="00DA5337">
      <w:pPr>
        <w:pStyle w:val="Odlomakpopisa"/>
        <w:numPr>
          <w:ilvl w:val="0"/>
          <w:numId w:val="12"/>
        </w:numPr>
        <w:shd w:val="clear" w:color="auto" w:fill="FFFFFF"/>
        <w:spacing w:before="100" w:beforeAutospacing="1" w:after="100" w:afterAutospacing="1"/>
        <w:rPr>
          <w:rFonts w:ascii="Times New Roman" w:hAnsi="Times New Roman" w:cs="Times New Roman"/>
          <w:color w:val="333333"/>
          <w:sz w:val="24"/>
          <w:szCs w:val="24"/>
        </w:rPr>
      </w:pPr>
      <w:r w:rsidRPr="00DA5337">
        <w:rPr>
          <w:rFonts w:ascii="Times New Roman" w:hAnsi="Times New Roman" w:cs="Times New Roman"/>
          <w:color w:val="333333"/>
          <w:sz w:val="24"/>
          <w:szCs w:val="24"/>
        </w:rPr>
        <w:t>Zakon o proračunu („Narodne novine“, broj 144/21)</w:t>
      </w:r>
    </w:p>
    <w:p w:rsidR="00DA5337" w:rsidRPr="00DA5337" w:rsidRDefault="00DA5337" w:rsidP="00DA5337">
      <w:pPr>
        <w:pStyle w:val="Odlomakpopisa"/>
        <w:numPr>
          <w:ilvl w:val="0"/>
          <w:numId w:val="12"/>
        </w:numPr>
        <w:shd w:val="clear" w:color="auto" w:fill="FFFFFF"/>
        <w:spacing w:before="100" w:beforeAutospacing="1" w:after="100" w:afterAutospacing="1"/>
        <w:rPr>
          <w:rFonts w:ascii="Times New Roman" w:hAnsi="Times New Roman" w:cs="Times New Roman"/>
          <w:color w:val="333333"/>
          <w:sz w:val="24"/>
          <w:szCs w:val="24"/>
        </w:rPr>
      </w:pPr>
      <w:r w:rsidRPr="00DA5337">
        <w:rPr>
          <w:rFonts w:ascii="Times New Roman" w:hAnsi="Times New Roman" w:cs="Times New Roman"/>
          <w:color w:val="333333"/>
          <w:sz w:val="24"/>
          <w:szCs w:val="24"/>
        </w:rPr>
        <w:t>Pravilnik o financijskom izvještavanju u proračunskom računovodstvu („Narodne novine“, broj 3/15, 93/15, 135/15, 2/17, 28/17, 112/18, 126/19, 145/20 i 32/21)</w:t>
      </w:r>
    </w:p>
    <w:p w:rsidR="00DA5337" w:rsidRPr="00DA5337" w:rsidRDefault="00DA5337" w:rsidP="00DA5337">
      <w:pPr>
        <w:pStyle w:val="Odlomakpopisa"/>
        <w:numPr>
          <w:ilvl w:val="0"/>
          <w:numId w:val="12"/>
        </w:numPr>
        <w:shd w:val="clear" w:color="auto" w:fill="FFFFFF"/>
        <w:spacing w:before="100" w:beforeAutospacing="1" w:after="100" w:afterAutospacing="1"/>
        <w:rPr>
          <w:rFonts w:ascii="Times New Roman" w:hAnsi="Times New Roman" w:cs="Times New Roman"/>
          <w:color w:val="333333"/>
          <w:sz w:val="24"/>
          <w:szCs w:val="24"/>
        </w:rPr>
      </w:pPr>
      <w:r w:rsidRPr="00DA5337">
        <w:rPr>
          <w:rFonts w:ascii="Times New Roman" w:hAnsi="Times New Roman" w:cs="Times New Roman"/>
          <w:color w:val="333333"/>
          <w:sz w:val="24"/>
          <w:szCs w:val="24"/>
        </w:rPr>
        <w:t>Pravilnik o proračunskom računovodstvu i računskom planu ( „Narodne novine“, broj 124/14, 115/15, 87/16, 3/18, 126/19 i 108/20)</w:t>
      </w:r>
    </w:p>
    <w:p w:rsidR="00DA5337" w:rsidRPr="00DA5337" w:rsidRDefault="00DA5337" w:rsidP="00DA5337">
      <w:pPr>
        <w:pStyle w:val="Odlomakpopisa"/>
        <w:numPr>
          <w:ilvl w:val="0"/>
          <w:numId w:val="12"/>
        </w:numPr>
        <w:shd w:val="clear" w:color="auto" w:fill="FFFFFF"/>
        <w:spacing w:before="100" w:beforeAutospacing="1" w:after="100" w:afterAutospacing="1"/>
        <w:rPr>
          <w:rFonts w:ascii="Times New Roman" w:hAnsi="Times New Roman" w:cs="Times New Roman"/>
          <w:color w:val="333333"/>
          <w:sz w:val="24"/>
          <w:szCs w:val="24"/>
        </w:rPr>
      </w:pPr>
      <w:r w:rsidRPr="00DA5337">
        <w:rPr>
          <w:rFonts w:ascii="Times New Roman" w:hAnsi="Times New Roman" w:cs="Times New Roman"/>
          <w:color w:val="333333"/>
          <w:sz w:val="24"/>
          <w:szCs w:val="24"/>
        </w:rPr>
        <w:t>Pravilnik o polugodišnjem i godišnjem izvještaju o izvršenju proračuna ( „Narodne novine“, broj 24/13, 102/17, 1/20 i 147/20)</w:t>
      </w:r>
    </w:p>
    <w:p w:rsidR="00DA5337" w:rsidRPr="00DA5337" w:rsidRDefault="00DA5337" w:rsidP="00DA5337">
      <w:pPr>
        <w:pStyle w:val="Odlomakpopisa"/>
        <w:numPr>
          <w:ilvl w:val="0"/>
          <w:numId w:val="12"/>
        </w:numPr>
        <w:shd w:val="clear" w:color="auto" w:fill="FFFFFF"/>
        <w:spacing w:before="100" w:beforeAutospacing="1" w:after="100" w:afterAutospacing="1"/>
        <w:rPr>
          <w:rFonts w:ascii="Times New Roman" w:hAnsi="Times New Roman" w:cs="Times New Roman"/>
          <w:color w:val="333333"/>
          <w:sz w:val="24"/>
          <w:szCs w:val="24"/>
        </w:rPr>
      </w:pPr>
      <w:r w:rsidRPr="00DA5337">
        <w:rPr>
          <w:rFonts w:ascii="Times New Roman" w:hAnsi="Times New Roman" w:cs="Times New Roman"/>
          <w:color w:val="333333"/>
          <w:sz w:val="24"/>
          <w:szCs w:val="24"/>
        </w:rPr>
        <w:t>Zakon o financiranju jedinica lokalne i područne (regionalne) samouprave ( „Narodne novine“, broj 127/17 i 138/20)</w:t>
      </w:r>
    </w:p>
    <w:p w:rsidR="002A36CC" w:rsidRPr="00DA5337" w:rsidRDefault="002A36CC" w:rsidP="00DA5337"/>
    <w:sectPr w:rsidR="002A36CC" w:rsidRPr="00DA5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DC163C3"/>
    <w:multiLevelType w:val="hybridMultilevel"/>
    <w:tmpl w:val="F1002816"/>
    <w:lvl w:ilvl="0" w:tplc="3D1856B6">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1E"/>
    <w:rsid w:val="00041203"/>
    <w:rsid w:val="000475E7"/>
    <w:rsid w:val="00080B01"/>
    <w:rsid w:val="000A1F39"/>
    <w:rsid w:val="000C6822"/>
    <w:rsid w:val="000E6550"/>
    <w:rsid w:val="00156ECB"/>
    <w:rsid w:val="001B7A80"/>
    <w:rsid w:val="001E77C5"/>
    <w:rsid w:val="00230108"/>
    <w:rsid w:val="00245FBC"/>
    <w:rsid w:val="00252A7B"/>
    <w:rsid w:val="002623ED"/>
    <w:rsid w:val="002772D7"/>
    <w:rsid w:val="002A36CC"/>
    <w:rsid w:val="002A44B5"/>
    <w:rsid w:val="00317890"/>
    <w:rsid w:val="00335E2E"/>
    <w:rsid w:val="00365BE4"/>
    <w:rsid w:val="0038697E"/>
    <w:rsid w:val="003C310B"/>
    <w:rsid w:val="003D00FF"/>
    <w:rsid w:val="003D2222"/>
    <w:rsid w:val="003F3446"/>
    <w:rsid w:val="004539BD"/>
    <w:rsid w:val="00476926"/>
    <w:rsid w:val="004C10EB"/>
    <w:rsid w:val="004C5DF5"/>
    <w:rsid w:val="005100BF"/>
    <w:rsid w:val="005459AD"/>
    <w:rsid w:val="00555B03"/>
    <w:rsid w:val="005603CB"/>
    <w:rsid w:val="005948AE"/>
    <w:rsid w:val="00622D14"/>
    <w:rsid w:val="00674133"/>
    <w:rsid w:val="006A3FE6"/>
    <w:rsid w:val="006D027A"/>
    <w:rsid w:val="006F6D56"/>
    <w:rsid w:val="00801663"/>
    <w:rsid w:val="00823036"/>
    <w:rsid w:val="00847D61"/>
    <w:rsid w:val="0086318E"/>
    <w:rsid w:val="008A79B6"/>
    <w:rsid w:val="008E0D26"/>
    <w:rsid w:val="009973CB"/>
    <w:rsid w:val="009C3FE8"/>
    <w:rsid w:val="009E4B79"/>
    <w:rsid w:val="00A031F4"/>
    <w:rsid w:val="00A13530"/>
    <w:rsid w:val="00A91BB9"/>
    <w:rsid w:val="00AB2D0E"/>
    <w:rsid w:val="00AF22D8"/>
    <w:rsid w:val="00B01801"/>
    <w:rsid w:val="00B27F2A"/>
    <w:rsid w:val="00B44EB1"/>
    <w:rsid w:val="00BB48D7"/>
    <w:rsid w:val="00BD37DF"/>
    <w:rsid w:val="00BD7093"/>
    <w:rsid w:val="00BF5396"/>
    <w:rsid w:val="00CA5911"/>
    <w:rsid w:val="00CE2925"/>
    <w:rsid w:val="00CF4774"/>
    <w:rsid w:val="00D55C31"/>
    <w:rsid w:val="00D62F9E"/>
    <w:rsid w:val="00D72C43"/>
    <w:rsid w:val="00D80D9C"/>
    <w:rsid w:val="00D97E2C"/>
    <w:rsid w:val="00DA5337"/>
    <w:rsid w:val="00DE14A8"/>
    <w:rsid w:val="00DE3CA9"/>
    <w:rsid w:val="00E53872"/>
    <w:rsid w:val="00E60FB7"/>
    <w:rsid w:val="00EC2F4D"/>
    <w:rsid w:val="00F14155"/>
    <w:rsid w:val="00F21B4F"/>
    <w:rsid w:val="00F9514C"/>
    <w:rsid w:val="00FB411E"/>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436633792">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sak.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4B517-C578-4488-9141-F249316C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Marija Garba</cp:lastModifiedBy>
  <cp:revision>2</cp:revision>
  <dcterms:created xsi:type="dcterms:W3CDTF">2022-01-07T11:31:00Z</dcterms:created>
  <dcterms:modified xsi:type="dcterms:W3CDTF">2022-01-07T11:31:00Z</dcterms:modified>
</cp:coreProperties>
</file>