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A2" w:rsidRPr="00CA4D95" w:rsidRDefault="006A63E4" w:rsidP="00D32AA2">
      <w:pPr>
        <w:jc w:val="center"/>
        <w:rPr>
          <w:rFonts w:cstheme="minorHAnsi"/>
          <w:sz w:val="26"/>
          <w:szCs w:val="26"/>
        </w:rPr>
      </w:pPr>
      <w:r w:rsidRPr="00CA4D95">
        <w:rPr>
          <w:rFonts w:eastAsia="Times New Roman" w:cstheme="minorHAnsi"/>
          <w:b/>
          <w:sz w:val="26"/>
          <w:szCs w:val="26"/>
          <w:lang w:eastAsia="hr-HR"/>
        </w:rPr>
        <w:t xml:space="preserve">3. </w:t>
      </w:r>
      <w:r w:rsidR="008C348B" w:rsidRPr="00CA4D95">
        <w:rPr>
          <w:rFonts w:eastAsia="Times New Roman" w:cstheme="minorHAnsi"/>
          <w:b/>
          <w:sz w:val="26"/>
          <w:szCs w:val="26"/>
          <w:lang w:eastAsia="hr-HR"/>
        </w:rPr>
        <w:t xml:space="preserve">Izvještaj o zaduživanju </w:t>
      </w:r>
      <w:r w:rsidR="00D32AA2" w:rsidRPr="00CA4D95">
        <w:rPr>
          <w:rFonts w:cstheme="minorHAnsi"/>
          <w:b/>
          <w:sz w:val="26"/>
          <w:szCs w:val="26"/>
        </w:rPr>
        <w:t>na domaćem i stranom tržištu</w:t>
      </w:r>
      <w:r w:rsidR="009E7E68" w:rsidRPr="00CA4D95">
        <w:rPr>
          <w:rFonts w:cstheme="minorHAnsi"/>
          <w:b/>
          <w:sz w:val="26"/>
          <w:szCs w:val="26"/>
        </w:rPr>
        <w:t xml:space="preserve"> novca i kapitala </w:t>
      </w:r>
    </w:p>
    <w:p w:rsidR="008C348B" w:rsidRPr="00A4598E" w:rsidRDefault="008C348B" w:rsidP="008C348B">
      <w:pPr>
        <w:jc w:val="center"/>
        <w:rPr>
          <w:rFonts w:cstheme="minorHAnsi"/>
          <w:sz w:val="24"/>
          <w:szCs w:val="24"/>
        </w:rPr>
      </w:pPr>
    </w:p>
    <w:p w:rsidR="002557F1" w:rsidRPr="00A4598E" w:rsidRDefault="002557F1" w:rsidP="008C348B">
      <w:pPr>
        <w:jc w:val="both"/>
        <w:rPr>
          <w:rFonts w:cstheme="minorHAnsi"/>
          <w:sz w:val="24"/>
          <w:szCs w:val="24"/>
        </w:rPr>
      </w:pPr>
      <w:r w:rsidRPr="00A4598E">
        <w:rPr>
          <w:rFonts w:cstheme="minorHAnsi"/>
          <w:sz w:val="24"/>
          <w:szCs w:val="24"/>
        </w:rPr>
        <w:t>Zaduživanje jedinica lokalne i područne ( regionalne ) samouprave regulirano je Zakonom o proračunu (“Narodne novine” broj 87/08, 136/12 i 15/</w:t>
      </w:r>
      <w:proofErr w:type="spellStart"/>
      <w:r w:rsidRPr="00A4598E">
        <w:rPr>
          <w:rFonts w:cstheme="minorHAnsi"/>
          <w:sz w:val="24"/>
          <w:szCs w:val="24"/>
        </w:rPr>
        <w:t>15</w:t>
      </w:r>
      <w:proofErr w:type="spellEnd"/>
      <w:r w:rsidRPr="00A4598E">
        <w:rPr>
          <w:rFonts w:cstheme="minorHAnsi"/>
          <w:sz w:val="24"/>
          <w:szCs w:val="24"/>
        </w:rPr>
        <w:t>) i Pravilnikom o postupku zaduživanja te davanja jamstva i suglasnosti jedinica lokalne i podr</w:t>
      </w:r>
      <w:r w:rsidR="00A4598E">
        <w:rPr>
          <w:rFonts w:cstheme="minorHAnsi"/>
          <w:sz w:val="24"/>
          <w:szCs w:val="24"/>
        </w:rPr>
        <w:t>učne (regionalne</w:t>
      </w:r>
      <w:r w:rsidR="00645826" w:rsidRPr="00A4598E">
        <w:rPr>
          <w:rFonts w:cstheme="minorHAnsi"/>
          <w:sz w:val="24"/>
          <w:szCs w:val="24"/>
        </w:rPr>
        <w:t xml:space="preserve">) samouprave </w:t>
      </w:r>
      <w:r w:rsidRPr="00A4598E">
        <w:rPr>
          <w:rFonts w:cstheme="minorHAnsi"/>
          <w:sz w:val="24"/>
          <w:szCs w:val="24"/>
        </w:rPr>
        <w:t>(“Narodne novine” broj 55/09 i 139/10). Pod zaduživanjem se podrazumijeva uzimanje kredita, zajmova i izdavanje vrijednosnih papira. Izvještaj o zaduživanju na domaćem i stranom tržištu novca i kapitala daje pregled zaduživanja u izvještajnom razdoblju po vrsti instrumenata, valutnoj, kamatnoj i ročnoj strukturi.</w:t>
      </w:r>
    </w:p>
    <w:p w:rsidR="005D5EB2" w:rsidRPr="00A4598E" w:rsidRDefault="005D5EB2" w:rsidP="00624F19">
      <w:pPr>
        <w:jc w:val="both"/>
        <w:rPr>
          <w:rFonts w:cstheme="minorHAnsi"/>
          <w:sz w:val="24"/>
          <w:szCs w:val="24"/>
        </w:rPr>
      </w:pPr>
      <w:r w:rsidRPr="00A4598E">
        <w:rPr>
          <w:rFonts w:cstheme="minorHAnsi"/>
          <w:sz w:val="24"/>
          <w:szCs w:val="24"/>
        </w:rPr>
        <w:t xml:space="preserve">U prošloj godini Grad Sisak je projekcijom previdio potreban iznos u 2018. </w:t>
      </w:r>
      <w:r w:rsidR="00AD6F90" w:rsidRPr="00A4598E">
        <w:rPr>
          <w:rFonts w:cstheme="minorHAnsi"/>
          <w:sz w:val="24"/>
          <w:szCs w:val="24"/>
        </w:rPr>
        <w:t>g</w:t>
      </w:r>
      <w:r w:rsidRPr="00A4598E">
        <w:rPr>
          <w:rFonts w:cstheme="minorHAnsi"/>
          <w:sz w:val="24"/>
          <w:szCs w:val="24"/>
        </w:rPr>
        <w:t xml:space="preserve">odini za opremanje RC </w:t>
      </w:r>
      <w:proofErr w:type="spellStart"/>
      <w:r w:rsidRPr="00A4598E">
        <w:rPr>
          <w:rFonts w:cstheme="minorHAnsi"/>
          <w:sz w:val="24"/>
          <w:szCs w:val="24"/>
        </w:rPr>
        <w:t>Zibel</w:t>
      </w:r>
      <w:proofErr w:type="spellEnd"/>
      <w:r w:rsidRPr="00A4598E">
        <w:rPr>
          <w:rFonts w:cstheme="minorHAnsi"/>
          <w:sz w:val="24"/>
          <w:szCs w:val="24"/>
        </w:rPr>
        <w:t xml:space="preserve">, no zbog ubrzanog postupka projektiranja i gradnje sredstva je bilo potrebno osigurati već za kraj 2017. </w:t>
      </w:r>
      <w:r w:rsidR="00AD6F90" w:rsidRPr="00A4598E">
        <w:rPr>
          <w:rFonts w:cstheme="minorHAnsi"/>
          <w:sz w:val="24"/>
          <w:szCs w:val="24"/>
        </w:rPr>
        <w:t>g</w:t>
      </w:r>
      <w:r w:rsidRPr="00A4598E">
        <w:rPr>
          <w:rFonts w:cstheme="minorHAnsi"/>
          <w:sz w:val="24"/>
          <w:szCs w:val="24"/>
        </w:rPr>
        <w:t>odine</w:t>
      </w:r>
      <w:r w:rsidR="00AD6F90" w:rsidRPr="00A4598E">
        <w:rPr>
          <w:rFonts w:cstheme="minorHAnsi"/>
          <w:sz w:val="24"/>
          <w:szCs w:val="24"/>
        </w:rPr>
        <w:t xml:space="preserve"> što je omogućilo znatno bržu realizaciju cjelokupnog projekta. Na temelju procjene troškova ustanovljeno je da je potrebno 8.500.000,00 kn za radove koji se odnose na drugu uporabnu cjelinu – zatvaranje dvorane, prateći prostori, potrebne instalacije i okoliš. </w:t>
      </w:r>
      <w:r w:rsidR="00420DA2" w:rsidRPr="00A4598E">
        <w:rPr>
          <w:rFonts w:cstheme="minorHAnsi"/>
          <w:sz w:val="24"/>
          <w:szCs w:val="24"/>
        </w:rPr>
        <w:t>Od planiranih</w:t>
      </w:r>
      <w:r w:rsidR="009F7C5C">
        <w:rPr>
          <w:rFonts w:cstheme="minorHAnsi"/>
          <w:sz w:val="24"/>
          <w:szCs w:val="24"/>
        </w:rPr>
        <w:t xml:space="preserve"> primitaka u iznosu </w:t>
      </w:r>
      <w:r w:rsidR="00420DA2" w:rsidRPr="00A4598E">
        <w:rPr>
          <w:rFonts w:cstheme="minorHAnsi"/>
          <w:sz w:val="24"/>
          <w:szCs w:val="24"/>
        </w:rPr>
        <w:t xml:space="preserve"> 8.500.000,00 kn u prošloj godini utrošilo se 6.201.297,38 kn, dok je u prvom polugodištu 2018. godine </w:t>
      </w:r>
      <w:r w:rsidR="009F7C5C">
        <w:rPr>
          <w:rFonts w:cstheme="minorHAnsi"/>
          <w:sz w:val="24"/>
          <w:szCs w:val="24"/>
        </w:rPr>
        <w:t>realiziran ostatak u iznosu</w:t>
      </w:r>
      <w:r w:rsidR="00420DA2" w:rsidRPr="00A4598E">
        <w:rPr>
          <w:rFonts w:cstheme="minorHAnsi"/>
          <w:sz w:val="24"/>
          <w:szCs w:val="24"/>
        </w:rPr>
        <w:t xml:space="preserve"> 2.298.702,</w:t>
      </w:r>
      <w:r w:rsidR="009F7C5C">
        <w:rPr>
          <w:rFonts w:cstheme="minorHAnsi"/>
          <w:sz w:val="24"/>
          <w:szCs w:val="24"/>
        </w:rPr>
        <w:t>62 kuna. Osim navedenih primitaka</w:t>
      </w:r>
      <w:r w:rsidR="00420DA2" w:rsidRPr="00A4598E">
        <w:rPr>
          <w:rFonts w:cstheme="minorHAnsi"/>
          <w:sz w:val="24"/>
          <w:szCs w:val="24"/>
        </w:rPr>
        <w:t xml:space="preserve"> u izvještajnom razdoblju Grad Sisak se nije zaduživao.</w:t>
      </w:r>
    </w:p>
    <w:p w:rsidR="00420DA2" w:rsidRPr="00A4598E" w:rsidRDefault="001B6C14" w:rsidP="00624F19">
      <w:pPr>
        <w:jc w:val="both"/>
        <w:rPr>
          <w:rFonts w:cstheme="minorHAnsi"/>
          <w:sz w:val="24"/>
          <w:szCs w:val="24"/>
        </w:rPr>
      </w:pPr>
      <w:r w:rsidRPr="00A4598E">
        <w:rPr>
          <w:rFonts w:cstheme="minorHAnsi"/>
          <w:sz w:val="24"/>
          <w:szCs w:val="24"/>
        </w:rPr>
        <w:t>Odlukom  o kreditnom zaduženju Grada Siska kod Hrvatske banke za obnovu i razvoj KLASA: 403-01/15-01/</w:t>
      </w:r>
      <w:proofErr w:type="spellStart"/>
      <w:r w:rsidRPr="00A4598E">
        <w:rPr>
          <w:rFonts w:cstheme="minorHAnsi"/>
          <w:sz w:val="24"/>
          <w:szCs w:val="24"/>
        </w:rPr>
        <w:t>01</w:t>
      </w:r>
      <w:proofErr w:type="spellEnd"/>
      <w:r w:rsidRPr="00A4598E">
        <w:rPr>
          <w:rFonts w:cstheme="minorHAnsi"/>
          <w:sz w:val="24"/>
          <w:szCs w:val="24"/>
        </w:rPr>
        <w:t>; URBROJ: 2176/05-02-15-2 od 22.</w:t>
      </w:r>
      <w:r w:rsidR="00C264AB" w:rsidRPr="00A4598E">
        <w:rPr>
          <w:rFonts w:cstheme="minorHAnsi"/>
          <w:sz w:val="24"/>
          <w:szCs w:val="24"/>
        </w:rPr>
        <w:t xml:space="preserve"> </w:t>
      </w:r>
      <w:r w:rsidRPr="00A4598E">
        <w:rPr>
          <w:rFonts w:cstheme="minorHAnsi"/>
          <w:sz w:val="24"/>
          <w:szCs w:val="24"/>
        </w:rPr>
        <w:t>svibnja 2015. godine odobreno je kreditno zaduženje Grada Siska u iznosu do 50.000.000,00 kuna kod Hrvatske banke za obnovu i razvitak. Zbog povoljnih uvjeta na tržištu financiranja Grad Sisak podnio je zahtjev za sniženje kamatne stope Hrvatskoj banci za obnovu i razvitak. Hrvatska banka za obnovu i razvitak odobrila je smanjenje kamatne po Osnovnom ugovoru na način da kamatna stopa iznosi 2,50% godišnje, fiksna na iznos kredita iskazan u EUR, a obračunava se i naplaćuje tromjesečno. Izmjena kamatne stope se počela primjenjivati od 0</w:t>
      </w:r>
      <w:r w:rsidR="00C264AB" w:rsidRPr="00A4598E">
        <w:rPr>
          <w:rFonts w:cstheme="minorHAnsi"/>
          <w:sz w:val="24"/>
          <w:szCs w:val="24"/>
        </w:rPr>
        <w:t xml:space="preserve">1. travnja </w:t>
      </w:r>
      <w:r w:rsidRPr="00A4598E">
        <w:rPr>
          <w:rFonts w:cstheme="minorHAnsi"/>
          <w:sz w:val="24"/>
          <w:szCs w:val="24"/>
        </w:rPr>
        <w:t>2018.</w:t>
      </w:r>
      <w:r w:rsidR="00C264AB" w:rsidRPr="00A4598E">
        <w:rPr>
          <w:rFonts w:cstheme="minorHAnsi"/>
          <w:sz w:val="24"/>
          <w:szCs w:val="24"/>
        </w:rPr>
        <w:t xml:space="preserve"> </w:t>
      </w:r>
      <w:r w:rsidRPr="00A4598E">
        <w:rPr>
          <w:rFonts w:cstheme="minorHAnsi"/>
          <w:sz w:val="24"/>
          <w:szCs w:val="24"/>
        </w:rPr>
        <w:t>godine.</w:t>
      </w:r>
      <w:r w:rsidR="00C264AB" w:rsidRPr="00A4598E">
        <w:rPr>
          <w:rFonts w:cstheme="minorHAnsi"/>
          <w:sz w:val="24"/>
          <w:szCs w:val="24"/>
        </w:rPr>
        <w:t xml:space="preserve"> </w:t>
      </w:r>
      <w:r w:rsidRPr="00A4598E">
        <w:rPr>
          <w:rFonts w:cstheme="minorHAnsi"/>
          <w:sz w:val="24"/>
          <w:szCs w:val="24"/>
        </w:rPr>
        <w:t>Prema informativnom izračunu iznos uštede sa smanjenom kamatnom stopom iznosi 956.958,46 EUR.</w:t>
      </w:r>
    </w:p>
    <w:p w:rsidR="00420DA2" w:rsidRPr="00A4598E" w:rsidRDefault="00420DA2" w:rsidP="00624F19">
      <w:pPr>
        <w:jc w:val="both"/>
        <w:rPr>
          <w:rFonts w:cstheme="minorHAnsi"/>
          <w:sz w:val="24"/>
          <w:szCs w:val="24"/>
        </w:rPr>
      </w:pPr>
    </w:p>
    <w:p w:rsidR="00D02CDD" w:rsidRPr="007F11D0" w:rsidRDefault="004743D0" w:rsidP="00D02CD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98E">
        <w:rPr>
          <w:rFonts w:asciiTheme="minorHAnsi" w:hAnsiTheme="minorHAnsi" w:cstheme="minorHAnsi"/>
        </w:rPr>
        <w:t xml:space="preserve">Stanje obveza za glavnice kredita Grada i proračunskih korisnika na početku godine je iznosilo </w:t>
      </w:r>
      <w:r w:rsidR="00E718F8" w:rsidRPr="00A4598E">
        <w:rPr>
          <w:rFonts w:asciiTheme="minorHAnsi" w:hAnsiTheme="minorHAnsi" w:cstheme="minorHAnsi"/>
        </w:rPr>
        <w:t>70.873.</w:t>
      </w:r>
      <w:r w:rsidR="007F11D0">
        <w:rPr>
          <w:rFonts w:asciiTheme="minorHAnsi" w:hAnsiTheme="minorHAnsi" w:cstheme="minorHAnsi"/>
        </w:rPr>
        <w:t>434</w:t>
      </w:r>
      <w:r w:rsidR="00621E32" w:rsidRPr="00A4598E">
        <w:rPr>
          <w:rFonts w:asciiTheme="minorHAnsi" w:hAnsiTheme="minorHAnsi" w:cstheme="minorHAnsi"/>
        </w:rPr>
        <w:t xml:space="preserve"> </w:t>
      </w:r>
      <w:r w:rsidR="00A3400C" w:rsidRPr="00A4598E">
        <w:rPr>
          <w:rFonts w:asciiTheme="minorHAnsi" w:hAnsiTheme="minorHAnsi" w:cstheme="minorHAnsi"/>
        </w:rPr>
        <w:t>kuna</w:t>
      </w:r>
      <w:r w:rsidR="006A63E4" w:rsidRPr="00A4598E">
        <w:rPr>
          <w:rFonts w:asciiTheme="minorHAnsi" w:hAnsiTheme="minorHAnsi" w:cstheme="minorHAnsi"/>
        </w:rPr>
        <w:t>,</w:t>
      </w:r>
      <w:r w:rsidRPr="00A4598E">
        <w:rPr>
          <w:rFonts w:asciiTheme="minorHAnsi" w:hAnsiTheme="minorHAnsi" w:cstheme="minorHAnsi"/>
        </w:rPr>
        <w:t xml:space="preserve"> a na dan </w:t>
      </w:r>
      <w:r w:rsidR="00317585">
        <w:rPr>
          <w:rFonts w:asciiTheme="minorHAnsi" w:hAnsiTheme="minorHAnsi" w:cstheme="minorHAnsi"/>
        </w:rPr>
        <w:t>31.12</w:t>
      </w:r>
      <w:r w:rsidR="008935A2" w:rsidRPr="00A4598E">
        <w:rPr>
          <w:rFonts w:asciiTheme="minorHAnsi" w:hAnsiTheme="minorHAnsi" w:cstheme="minorHAnsi"/>
        </w:rPr>
        <w:t>.2018.</w:t>
      </w:r>
      <w:r w:rsidRPr="00A4598E">
        <w:rPr>
          <w:rFonts w:asciiTheme="minorHAnsi" w:hAnsiTheme="minorHAnsi" w:cstheme="minorHAnsi"/>
        </w:rPr>
        <w:t xml:space="preserve"> godine</w:t>
      </w:r>
      <w:r w:rsidRPr="00317585">
        <w:rPr>
          <w:rFonts w:asciiTheme="minorHAnsi" w:hAnsiTheme="minorHAnsi" w:cstheme="minorHAnsi"/>
          <w:color w:val="FF0000"/>
        </w:rPr>
        <w:t xml:space="preserve"> </w:t>
      </w:r>
      <w:r w:rsidR="00B25912">
        <w:rPr>
          <w:rFonts w:asciiTheme="minorHAnsi" w:hAnsiTheme="minorHAnsi" w:cstheme="minorHAnsi"/>
        </w:rPr>
        <w:t>70.534.990</w:t>
      </w:r>
      <w:r w:rsidR="00AD5687" w:rsidRPr="007F11D0">
        <w:rPr>
          <w:rFonts w:asciiTheme="minorHAnsi" w:hAnsiTheme="minorHAnsi" w:cstheme="minorHAnsi"/>
        </w:rPr>
        <w:t xml:space="preserve"> </w:t>
      </w:r>
      <w:r w:rsidR="008935A2" w:rsidRPr="007F11D0">
        <w:rPr>
          <w:rFonts w:asciiTheme="minorHAnsi" w:hAnsiTheme="minorHAnsi" w:cstheme="minorHAnsi"/>
        </w:rPr>
        <w:t xml:space="preserve"> </w:t>
      </w:r>
      <w:r w:rsidR="0039560A" w:rsidRPr="007F11D0">
        <w:rPr>
          <w:rFonts w:asciiTheme="minorHAnsi" w:hAnsiTheme="minorHAnsi" w:cstheme="minorHAnsi"/>
        </w:rPr>
        <w:t>kn</w:t>
      </w:r>
      <w:r w:rsidR="00A3400C" w:rsidRPr="007F11D0">
        <w:rPr>
          <w:rFonts w:asciiTheme="minorHAnsi" w:hAnsiTheme="minorHAnsi" w:cstheme="minorHAnsi"/>
        </w:rPr>
        <w:t>.</w:t>
      </w:r>
    </w:p>
    <w:p w:rsidR="00420DA2" w:rsidRPr="005C76AE" w:rsidRDefault="007F11D0" w:rsidP="005C76AE">
      <w:pPr>
        <w:rPr>
          <w:rFonts w:cstheme="minorHAnsi"/>
        </w:rPr>
      </w:pPr>
      <w:r w:rsidRPr="007F11D0">
        <w:rPr>
          <w:rFonts w:cstheme="minorHAnsi"/>
        </w:rPr>
        <w:br w:type="page"/>
      </w:r>
    </w:p>
    <w:p w:rsidR="00420DA2" w:rsidRPr="00A4598E" w:rsidRDefault="00420DA2" w:rsidP="00D02CDD">
      <w:pPr>
        <w:pStyle w:val="Odlomakpopisa"/>
        <w:jc w:val="both"/>
        <w:rPr>
          <w:rFonts w:asciiTheme="minorHAnsi" w:hAnsiTheme="minorHAnsi" w:cstheme="minorHAnsi"/>
        </w:rPr>
      </w:pPr>
    </w:p>
    <w:p w:rsidR="00420DA2" w:rsidRPr="00A4598E" w:rsidRDefault="00420DA2" w:rsidP="00D02CDD">
      <w:pPr>
        <w:pStyle w:val="Odlomakpopisa"/>
        <w:jc w:val="both"/>
        <w:rPr>
          <w:rFonts w:asciiTheme="minorHAnsi" w:hAnsiTheme="minorHAnsi" w:cstheme="minorHAnsi"/>
        </w:rPr>
      </w:pPr>
    </w:p>
    <w:p w:rsidR="001B652A" w:rsidRPr="00A4598E" w:rsidRDefault="00D818B4" w:rsidP="00193636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 w:rsidRPr="00A4598E">
        <w:rPr>
          <w:rFonts w:asciiTheme="minorHAnsi" w:hAnsiTheme="minorHAnsi" w:cstheme="minorHAnsi"/>
        </w:rPr>
        <w:t>Iznosi otplata kredita grada</w:t>
      </w:r>
      <w:r w:rsidR="006C298E">
        <w:rPr>
          <w:rFonts w:asciiTheme="minorHAnsi" w:hAnsiTheme="minorHAnsi" w:cstheme="minorHAnsi"/>
        </w:rPr>
        <w:t xml:space="preserve"> i proračunskih korisnika</w:t>
      </w:r>
      <w:bookmarkStart w:id="0" w:name="_GoBack"/>
      <w:bookmarkEnd w:id="0"/>
      <w:r w:rsidRPr="00A4598E">
        <w:rPr>
          <w:rFonts w:asciiTheme="minorHAnsi" w:hAnsiTheme="minorHAnsi" w:cstheme="minorHAnsi"/>
        </w:rPr>
        <w:t xml:space="preserve"> raspoređeni prema dospijeću u narednim godinama</w:t>
      </w:r>
    </w:p>
    <w:p w:rsidR="00193636" w:rsidRPr="00A4598E" w:rsidRDefault="00193636" w:rsidP="00193636">
      <w:pPr>
        <w:pStyle w:val="Odlomakpopisa"/>
        <w:rPr>
          <w:rFonts w:asciiTheme="minorHAnsi" w:hAnsiTheme="minorHAnsi" w:cstheme="minorHAnsi"/>
        </w:rPr>
      </w:pPr>
    </w:p>
    <w:p w:rsidR="00193636" w:rsidRPr="00A4598E" w:rsidRDefault="00193636" w:rsidP="00193636">
      <w:pPr>
        <w:pStyle w:val="Odlomakpopisa"/>
        <w:rPr>
          <w:rFonts w:asciiTheme="minorHAnsi" w:hAnsiTheme="minorHAnsi" w:cstheme="minorHAnsi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009"/>
        <w:gridCol w:w="3750"/>
        <w:gridCol w:w="4529"/>
      </w:tblGrid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98E">
              <w:rPr>
                <w:rFonts w:cstheme="minorHAnsi"/>
                <w:b/>
                <w:sz w:val="20"/>
                <w:szCs w:val="20"/>
              </w:rPr>
              <w:t>GODINA</w:t>
            </w:r>
          </w:p>
        </w:tc>
        <w:tc>
          <w:tcPr>
            <w:tcW w:w="3750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98E">
              <w:rPr>
                <w:rFonts w:cstheme="minorHAnsi"/>
                <w:b/>
                <w:sz w:val="20"/>
                <w:szCs w:val="20"/>
              </w:rPr>
              <w:t>OTPLATA GLAVNICE</w:t>
            </w:r>
          </w:p>
        </w:tc>
        <w:tc>
          <w:tcPr>
            <w:tcW w:w="452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98E">
              <w:rPr>
                <w:rFonts w:cstheme="minorHAnsi"/>
                <w:b/>
                <w:sz w:val="20"/>
                <w:szCs w:val="20"/>
              </w:rPr>
              <w:t>OTPLATA KAMATA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2019.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3.166.833,02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2.546.227,49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2.561.833,15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2.470.194,73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2.447.429,76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2.395.820,96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7.407.808,86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2.252.939,25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7.407.808,86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1.984.464,00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2024.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7.407.808,86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1.720.679,85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2025.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6.891.679,82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1.451.646,84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2026.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6.633.615,30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1.203.036,00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2027.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5.716.949,01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966.373,97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2028.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5.633.615,34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748.719,82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2029.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5.240.894,20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529.512,95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2030.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4.960.379,10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326.421,00</w:t>
            </w:r>
          </w:p>
        </w:tc>
      </w:tr>
      <w:tr w:rsidR="005406BA" w:rsidRPr="00A4598E" w:rsidTr="00420DA2">
        <w:tc>
          <w:tcPr>
            <w:tcW w:w="1009" w:type="dxa"/>
          </w:tcPr>
          <w:p w:rsidR="005406BA" w:rsidRPr="00A4598E" w:rsidRDefault="005406BA" w:rsidP="00540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2031.</w:t>
            </w:r>
          </w:p>
        </w:tc>
        <w:tc>
          <w:tcPr>
            <w:tcW w:w="3750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4.960.379,10</w:t>
            </w:r>
          </w:p>
        </w:tc>
        <w:tc>
          <w:tcPr>
            <w:tcW w:w="4529" w:type="dxa"/>
          </w:tcPr>
          <w:p w:rsidR="005406BA" w:rsidRPr="00A4598E" w:rsidRDefault="00C86ADA" w:rsidP="00FC2E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598E">
              <w:rPr>
                <w:rFonts w:cstheme="minorHAnsi"/>
                <w:sz w:val="20"/>
                <w:szCs w:val="20"/>
              </w:rPr>
              <w:t>125.250,00</w:t>
            </w:r>
          </w:p>
        </w:tc>
      </w:tr>
    </w:tbl>
    <w:p w:rsidR="00420DA2" w:rsidRPr="00A4598E" w:rsidRDefault="00420DA2" w:rsidP="00CD3091">
      <w:pPr>
        <w:rPr>
          <w:rFonts w:cstheme="minorHAnsi"/>
          <w:sz w:val="24"/>
          <w:szCs w:val="24"/>
        </w:rPr>
      </w:pPr>
    </w:p>
    <w:p w:rsidR="00420DA2" w:rsidRPr="00A4598E" w:rsidRDefault="00420DA2" w:rsidP="00420DA2">
      <w:pPr>
        <w:rPr>
          <w:rFonts w:cstheme="minorHAnsi"/>
          <w:sz w:val="24"/>
          <w:szCs w:val="24"/>
        </w:rPr>
      </w:pPr>
    </w:p>
    <w:sectPr w:rsidR="00420DA2" w:rsidRPr="00A4598E" w:rsidSect="005D3625">
      <w:footerReference w:type="default" r:id="rId9"/>
      <w:pgSz w:w="11906" w:h="16838"/>
      <w:pgMar w:top="1418" w:right="1418" w:bottom="1418" w:left="1418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97" w:rsidRDefault="00291A97" w:rsidP="002B06D7">
      <w:pPr>
        <w:spacing w:after="0" w:line="240" w:lineRule="auto"/>
      </w:pPr>
      <w:r>
        <w:separator/>
      </w:r>
    </w:p>
  </w:endnote>
  <w:endnote w:type="continuationSeparator" w:id="0">
    <w:p w:rsidR="00291A97" w:rsidRDefault="00291A97" w:rsidP="002B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11053"/>
      <w:docPartObj>
        <w:docPartGallery w:val="Page Numbers (Bottom of Page)"/>
        <w:docPartUnique/>
      </w:docPartObj>
    </w:sdtPr>
    <w:sdtEndPr/>
    <w:sdtContent>
      <w:p w:rsidR="00093796" w:rsidRDefault="0009379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8E">
          <w:rPr>
            <w:noProof/>
          </w:rPr>
          <w:t>97</w:t>
        </w:r>
        <w:r>
          <w:fldChar w:fldCharType="end"/>
        </w:r>
      </w:p>
    </w:sdtContent>
  </w:sdt>
  <w:p w:rsidR="0087086E" w:rsidRDefault="008708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97" w:rsidRDefault="00291A97" w:rsidP="002B06D7">
      <w:pPr>
        <w:spacing w:after="0" w:line="240" w:lineRule="auto"/>
      </w:pPr>
      <w:r>
        <w:separator/>
      </w:r>
    </w:p>
  </w:footnote>
  <w:footnote w:type="continuationSeparator" w:id="0">
    <w:p w:rsidR="00291A97" w:rsidRDefault="00291A97" w:rsidP="002B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C43"/>
    <w:multiLevelType w:val="hybridMultilevel"/>
    <w:tmpl w:val="85DE2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12D"/>
    <w:multiLevelType w:val="multilevel"/>
    <w:tmpl w:val="C99E5288"/>
    <w:lvl w:ilvl="0">
      <w:start w:val="1"/>
      <w:numFmt w:val="decimal"/>
      <w:pStyle w:val="velikinaslov-josip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4946F7"/>
    <w:multiLevelType w:val="hybridMultilevel"/>
    <w:tmpl w:val="19BEE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E1F67"/>
    <w:multiLevelType w:val="hybridMultilevel"/>
    <w:tmpl w:val="7B306C56"/>
    <w:lvl w:ilvl="0" w:tplc="BC88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14DF"/>
    <w:multiLevelType w:val="hybridMultilevel"/>
    <w:tmpl w:val="594C2BF2"/>
    <w:lvl w:ilvl="0" w:tplc="DB9EE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1837"/>
    <w:multiLevelType w:val="hybridMultilevel"/>
    <w:tmpl w:val="52666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8B"/>
    <w:rsid w:val="00081991"/>
    <w:rsid w:val="00093796"/>
    <w:rsid w:val="000D4515"/>
    <w:rsid w:val="001274D8"/>
    <w:rsid w:val="0013303E"/>
    <w:rsid w:val="00147FF2"/>
    <w:rsid w:val="00193636"/>
    <w:rsid w:val="001B652A"/>
    <w:rsid w:val="001B6C14"/>
    <w:rsid w:val="00207856"/>
    <w:rsid w:val="002557F1"/>
    <w:rsid w:val="00291A97"/>
    <w:rsid w:val="002A0234"/>
    <w:rsid w:val="002B06D7"/>
    <w:rsid w:val="002C1DE3"/>
    <w:rsid w:val="00317585"/>
    <w:rsid w:val="003263F4"/>
    <w:rsid w:val="00337F79"/>
    <w:rsid w:val="003514C4"/>
    <w:rsid w:val="003621A5"/>
    <w:rsid w:val="00366471"/>
    <w:rsid w:val="003942D1"/>
    <w:rsid w:val="0039560A"/>
    <w:rsid w:val="003B317B"/>
    <w:rsid w:val="003F3A86"/>
    <w:rsid w:val="00400333"/>
    <w:rsid w:val="00420DA2"/>
    <w:rsid w:val="00426D25"/>
    <w:rsid w:val="00440F6A"/>
    <w:rsid w:val="00464CE9"/>
    <w:rsid w:val="004651D4"/>
    <w:rsid w:val="004743D0"/>
    <w:rsid w:val="004B14BB"/>
    <w:rsid w:val="004F4FB8"/>
    <w:rsid w:val="00503550"/>
    <w:rsid w:val="00512C0C"/>
    <w:rsid w:val="005406BA"/>
    <w:rsid w:val="00562D7D"/>
    <w:rsid w:val="005C76AE"/>
    <w:rsid w:val="005D20D8"/>
    <w:rsid w:val="005D3625"/>
    <w:rsid w:val="005D5EB2"/>
    <w:rsid w:val="00615FBD"/>
    <w:rsid w:val="00621E32"/>
    <w:rsid w:val="00624F19"/>
    <w:rsid w:val="00645826"/>
    <w:rsid w:val="00656969"/>
    <w:rsid w:val="006A63E4"/>
    <w:rsid w:val="006A72EA"/>
    <w:rsid w:val="006C298E"/>
    <w:rsid w:val="006C3CDF"/>
    <w:rsid w:val="00781F59"/>
    <w:rsid w:val="007873F9"/>
    <w:rsid w:val="007D2D3A"/>
    <w:rsid w:val="007F11D0"/>
    <w:rsid w:val="00851C49"/>
    <w:rsid w:val="00855962"/>
    <w:rsid w:val="00864FD7"/>
    <w:rsid w:val="0087086E"/>
    <w:rsid w:val="00884CB1"/>
    <w:rsid w:val="008935A2"/>
    <w:rsid w:val="008A0B0F"/>
    <w:rsid w:val="008C0669"/>
    <w:rsid w:val="008C348B"/>
    <w:rsid w:val="008C54B2"/>
    <w:rsid w:val="00930406"/>
    <w:rsid w:val="00934FF6"/>
    <w:rsid w:val="009535C2"/>
    <w:rsid w:val="009C3919"/>
    <w:rsid w:val="009E7E68"/>
    <w:rsid w:val="009F7C5C"/>
    <w:rsid w:val="00A25654"/>
    <w:rsid w:val="00A3400C"/>
    <w:rsid w:val="00A35B93"/>
    <w:rsid w:val="00A373F9"/>
    <w:rsid w:val="00A4598E"/>
    <w:rsid w:val="00AA6285"/>
    <w:rsid w:val="00AC347E"/>
    <w:rsid w:val="00AD321F"/>
    <w:rsid w:val="00AD5687"/>
    <w:rsid w:val="00AD6F90"/>
    <w:rsid w:val="00B03131"/>
    <w:rsid w:val="00B17BBD"/>
    <w:rsid w:val="00B24356"/>
    <w:rsid w:val="00B25912"/>
    <w:rsid w:val="00BF599E"/>
    <w:rsid w:val="00C11688"/>
    <w:rsid w:val="00C264AB"/>
    <w:rsid w:val="00C475B0"/>
    <w:rsid w:val="00C86ADA"/>
    <w:rsid w:val="00C94679"/>
    <w:rsid w:val="00CA4D95"/>
    <w:rsid w:val="00CC48B6"/>
    <w:rsid w:val="00CD3091"/>
    <w:rsid w:val="00D01AC4"/>
    <w:rsid w:val="00D02CDD"/>
    <w:rsid w:val="00D32AA2"/>
    <w:rsid w:val="00D509C5"/>
    <w:rsid w:val="00D818B4"/>
    <w:rsid w:val="00DA7305"/>
    <w:rsid w:val="00DC2DA4"/>
    <w:rsid w:val="00DC36D9"/>
    <w:rsid w:val="00E20297"/>
    <w:rsid w:val="00E718F8"/>
    <w:rsid w:val="00EF7F97"/>
    <w:rsid w:val="00F0007F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B"/>
  </w:style>
  <w:style w:type="paragraph" w:styleId="Naslov1">
    <w:name w:val="heading 1"/>
    <w:basedOn w:val="Normal"/>
    <w:next w:val="Normal"/>
    <w:link w:val="Naslov1Char"/>
    <w:uiPriority w:val="9"/>
    <w:qFormat/>
    <w:rsid w:val="008C3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likinaslov-josipa">
    <w:name w:val="veliki naslov-josipa"/>
    <w:basedOn w:val="Naslov1"/>
    <w:qFormat/>
    <w:rsid w:val="008C348B"/>
    <w:pPr>
      <w:keepLines w:val="0"/>
      <w:numPr>
        <w:numId w:val="1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C3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DA7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F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6D7"/>
  </w:style>
  <w:style w:type="paragraph" w:styleId="Podnoje">
    <w:name w:val="footer"/>
    <w:basedOn w:val="Normal"/>
    <w:link w:val="PodnojeChar"/>
    <w:uiPriority w:val="99"/>
    <w:unhideWhenUsed/>
    <w:rsid w:val="002B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6D7"/>
  </w:style>
  <w:style w:type="paragraph" w:styleId="Bezproreda">
    <w:name w:val="No Spacing"/>
    <w:link w:val="BezproredaChar"/>
    <w:uiPriority w:val="1"/>
    <w:qFormat/>
    <w:rsid w:val="00E2029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2029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B"/>
  </w:style>
  <w:style w:type="paragraph" w:styleId="Naslov1">
    <w:name w:val="heading 1"/>
    <w:basedOn w:val="Normal"/>
    <w:next w:val="Normal"/>
    <w:link w:val="Naslov1Char"/>
    <w:uiPriority w:val="9"/>
    <w:qFormat/>
    <w:rsid w:val="008C3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likinaslov-josipa">
    <w:name w:val="veliki naslov-josipa"/>
    <w:basedOn w:val="Naslov1"/>
    <w:qFormat/>
    <w:rsid w:val="008C348B"/>
    <w:pPr>
      <w:keepLines w:val="0"/>
      <w:numPr>
        <w:numId w:val="1"/>
      </w:numPr>
      <w:tabs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C3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DA7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F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6D7"/>
  </w:style>
  <w:style w:type="paragraph" w:styleId="Podnoje">
    <w:name w:val="footer"/>
    <w:basedOn w:val="Normal"/>
    <w:link w:val="PodnojeChar"/>
    <w:uiPriority w:val="99"/>
    <w:unhideWhenUsed/>
    <w:rsid w:val="002B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6D7"/>
  </w:style>
  <w:style w:type="paragraph" w:styleId="Bezproreda">
    <w:name w:val="No Spacing"/>
    <w:link w:val="BezproredaChar"/>
    <w:uiPriority w:val="1"/>
    <w:qFormat/>
    <w:rsid w:val="00E2029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2029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C479-358B-42BE-8A02-69C6829B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Božić</dc:creator>
  <cp:keywords/>
  <dc:description/>
  <cp:lastModifiedBy>Anja Božić</cp:lastModifiedBy>
  <cp:revision>91</cp:revision>
  <cp:lastPrinted>2018-09-04T08:23:00Z</cp:lastPrinted>
  <dcterms:created xsi:type="dcterms:W3CDTF">2017-04-26T06:49:00Z</dcterms:created>
  <dcterms:modified xsi:type="dcterms:W3CDTF">2019-05-24T10:46:00Z</dcterms:modified>
</cp:coreProperties>
</file>