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24" w:rsidRPr="00D06624" w:rsidRDefault="00D06624" w:rsidP="00D06624">
      <w:pPr>
        <w:overflowPunct w:val="0"/>
        <w:autoSpaceDE w:val="0"/>
        <w:autoSpaceDN w:val="0"/>
        <w:adjustRightInd w:val="0"/>
        <w:jc w:val="both"/>
        <w:textAlignment w:val="baseline"/>
        <w:rPr>
          <w:szCs w:val="20"/>
        </w:rPr>
      </w:pPr>
    </w:p>
    <w:p w:rsidR="00D06624" w:rsidRPr="00D06624" w:rsidRDefault="00CB79C2" w:rsidP="00EB4C7B">
      <w:pPr>
        <w:overflowPunct w:val="0"/>
        <w:autoSpaceDE w:val="0"/>
        <w:autoSpaceDN w:val="0"/>
        <w:adjustRightInd w:val="0"/>
        <w:jc w:val="center"/>
        <w:textAlignment w:val="baseline"/>
        <w:rPr>
          <w:rFonts w:cs="Arial"/>
          <w:szCs w:val="20"/>
        </w:rPr>
      </w:pPr>
      <w:r>
        <w:rPr>
          <w:szCs w:val="20"/>
        </w:rPr>
        <w:t>TEHNIČKI UVJETI I NAČIN IZVOĐENJA RADOVA</w:t>
      </w:r>
      <w:r w:rsidR="00D06624" w:rsidRPr="00D06624">
        <w:rPr>
          <w:szCs w:val="20"/>
        </w:rPr>
        <w:t xml:space="preserve"> TEKUĆEG ODRŽAVANJA NERAZVRSTANIH ASFALTIRANIH PROMETNICA</w:t>
      </w:r>
    </w:p>
    <w:p w:rsidR="00D06624" w:rsidRPr="00D06624" w:rsidRDefault="00D06624" w:rsidP="00D06624">
      <w:pPr>
        <w:overflowPunct w:val="0"/>
        <w:autoSpaceDE w:val="0"/>
        <w:autoSpaceDN w:val="0"/>
        <w:adjustRightInd w:val="0"/>
        <w:jc w:val="both"/>
        <w:textAlignment w:val="baseline"/>
        <w:rPr>
          <w:szCs w:val="20"/>
        </w:rPr>
      </w:pP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Radovi održavanja nerazvrstanih asfaltiranih cesta i ostalih asfaltiranih javnih površina u gradu Sisku moraju se izvoditi svakodnevno, odnosno po nalogu i pozivu  Ovlaštene osobe naručitelja.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Radovi se mogu obustaviti zbog neuvjetnih vremenskih prilika ili više sile što izvoditelj upisuje u dnevnik, a Ovlaštena osoba naručitelja ovjerava i u slučaju kada obustavu naloži Ovlaštena osoba naručitelja.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Nije dozvoljeno obustaviti radove održavanja ukoliko nisu izvedeni svi radovi na lokacijama upisanim u građevinski dnevnik ili dostavljenim e-mailom, osim uz pismeno odobrenje ovlaštene osobe naručitelja.</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Ukoliko izvoditelj samovoljno i neopravdano obustavi radove, umanjivati će se sljedeća situacija za 500 kn za svaki radni dan zastoja. Ovlaštena osoba naručitelja evidentirati će dane zastoja u građevinskom dnevniku ili o svakom danu zastoja obavještavati izvoditelja e-mailom.</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Svi radovi moraju se u cijelosti izvesti prema opisima stavki u troškovniku, Opće tehničkim uvjetima za radove na cestama, Hrvatskim normama, Zakonu o prostornom uređenju i Zakonu o gradnji, Zakonu o sigurnosti prometa na cestama i drugim zakonima i propisima vezanim za predmetne radove.</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Grad Sisak će ovlastiti osobu (u daljnjem tekstu Ovlaštena osoba naručitelja) koja će u ime naručitelja voditi i nadzirati radove tekućeg održavanja nerazvrstanih asfaltiranih cesta i javnih površina.</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Izvoditelj je dužan imenovati Voditelja radova tekućeg održavanja odgovornog za kvalitetu izvedenih radova i zaduženog za koordinaciju sa ovlaštenom osobom naručitelja, te imenovati osobu za kontakt stalno prisutnu na terenu, odnosno na mjestu izvođenja radova. Voditelj radova mora imati osiguran takozvani pametni telefon koji omogućava instalaciju i korištenje sustava Gradsko oko koji koristi Grad Sisak.</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Građevinski dnevnik mora voditi Voditelj radova na način da se u njega upisuje vrsta radova, točna lokacija na kojoj se radovi izvode (ulica i kućni broj uz koji izvodi) te orijentacione količine radova koji su izvedeni taj dan. Dnevnik mora svakodnevno biti potpisan od strane voditelja radova za prethodni dan i svakodnevno dostupan Ovlaštenoj osobi naručitelja radi potpisa i kontrole, te upisa lokacija na kojima  će se izvoditi radovi.</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Građevinska knjiga mora sadržavati skicu svake površine novougrađenog asfalta iz koje će se vidjeti oblik i sve dimenzije  obrađene površine. Bez jasnih skica knjiga se neće ovjeravati i vraćati će se izvoditelju.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Ovlaštena osoba naručitelja mora biti unaprijed obaviještena o točnoj lokaciji i terminima izvođenja radova kako bi mogla izvršiti nadzor. Obavijest mora biti dostavljena fax-om ili e-mail-om najkasnije na dan izvođenja radova, do 8</w:t>
      </w:r>
      <w:r w:rsidRPr="00D06624">
        <w:rPr>
          <w:szCs w:val="20"/>
          <w:vertAlign w:val="superscript"/>
        </w:rPr>
        <w:t>30</w:t>
      </w:r>
      <w:r w:rsidRPr="00D06624">
        <w:rPr>
          <w:szCs w:val="20"/>
        </w:rPr>
        <w:t xml:space="preserve"> h.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Ovlaštena osoba naručitelja ne mora priznati radove ili pojedine faze radova na sanaciji određene lokacije ako pravovremeno nije obaviještena o izvođenju radova na određenoj lokaciji te nije mogla izvršiti nadzor.</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Ovlaštena osoba naručitelja će određivati lokacije i prioritete izvođenja radova upisom u građevinski dnevnik ili e-mail-om. Izvoditelj naloge za izvođenje radova dobiva isključivo od Ovlaštene osobe naručitelja. Ukoliko nalog izda druga osoba o istom je Izvoditelj dužan, prije početka izvođenja radova, obavijestiti Ovlaštenu osobu naručitelja i od nje dobiti potvrdu  da se radovi mogu izvoditi.</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Nakon upisa lokacije na kojoj treba izvršiti sanaciju u građevinski dnevnik (ili dostave e-mail-a) izvoditelj  preuzima odgovornost za sve događaje proizišle zbog oštećenja prometne površine i obvezu nadoknade svake štete trećim osobama i Gradu Sisku koja je prouzročena tim udarnim rupama, odnosno oštećenjima.</w:t>
      </w:r>
    </w:p>
    <w:p w:rsidR="00D06624" w:rsidRDefault="00D06624" w:rsidP="00D06624">
      <w:pPr>
        <w:overflowPunct w:val="0"/>
        <w:autoSpaceDE w:val="0"/>
        <w:autoSpaceDN w:val="0"/>
        <w:adjustRightInd w:val="0"/>
        <w:ind w:firstLine="720"/>
        <w:jc w:val="both"/>
        <w:textAlignment w:val="baseline"/>
        <w:rPr>
          <w:szCs w:val="20"/>
        </w:rPr>
      </w:pPr>
    </w:p>
    <w:p w:rsidR="00D06624" w:rsidRDefault="00D06624" w:rsidP="00D06624">
      <w:pPr>
        <w:overflowPunct w:val="0"/>
        <w:autoSpaceDE w:val="0"/>
        <w:autoSpaceDN w:val="0"/>
        <w:adjustRightInd w:val="0"/>
        <w:ind w:firstLine="720"/>
        <w:jc w:val="both"/>
        <w:textAlignment w:val="baseline"/>
        <w:rPr>
          <w:szCs w:val="20"/>
        </w:rPr>
      </w:pPr>
    </w:p>
    <w:p w:rsidR="00D06624" w:rsidRDefault="00D06624" w:rsidP="00D06624">
      <w:pPr>
        <w:overflowPunct w:val="0"/>
        <w:autoSpaceDE w:val="0"/>
        <w:autoSpaceDN w:val="0"/>
        <w:adjustRightInd w:val="0"/>
        <w:ind w:firstLine="720"/>
        <w:jc w:val="both"/>
        <w:textAlignment w:val="baseline"/>
        <w:rPr>
          <w:szCs w:val="20"/>
        </w:rPr>
      </w:pPr>
    </w:p>
    <w:p w:rsidR="00D06624" w:rsidRDefault="00D06624" w:rsidP="00D06624">
      <w:pPr>
        <w:overflowPunct w:val="0"/>
        <w:autoSpaceDE w:val="0"/>
        <w:autoSpaceDN w:val="0"/>
        <w:adjustRightInd w:val="0"/>
        <w:ind w:firstLine="720"/>
        <w:jc w:val="both"/>
        <w:textAlignment w:val="baseline"/>
        <w:rPr>
          <w:szCs w:val="20"/>
        </w:rPr>
      </w:pP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Tekuće održavanje - sanacija udarnih rupa izvodi se redoslijedom kako je upisano u dnevnik ili obavijest dostavljena e-mailom, te se pojedina lokacija tr</w:t>
      </w:r>
      <w:r w:rsidR="00BB77A4">
        <w:rPr>
          <w:szCs w:val="20"/>
        </w:rPr>
        <w:t>eba sanirati u roku od najviše 5</w:t>
      </w:r>
      <w:r w:rsidRPr="00D06624">
        <w:rPr>
          <w:szCs w:val="20"/>
        </w:rPr>
        <w:t xml:space="preserve"> radnih dana od dana upisa. Samo u iznimno hitnim slučajevima od Izvoditelja će se pismeno zatražiti da organizira istovremeno izvođenje radova na dvije lokacije.</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Ukoliko izvoditelj neopravdano </w:t>
      </w:r>
      <w:r w:rsidR="00BB77A4">
        <w:rPr>
          <w:szCs w:val="20"/>
        </w:rPr>
        <w:t>ne pristupi sanaciji u roku od 5</w:t>
      </w:r>
      <w:bookmarkStart w:id="0" w:name="_GoBack"/>
      <w:bookmarkEnd w:id="0"/>
      <w:r w:rsidRPr="00D06624">
        <w:rPr>
          <w:szCs w:val="20"/>
        </w:rPr>
        <w:t xml:space="preserve"> radnih dana po upisu lokacije u građevinski dnevnik ili dostave obavijesti e-mailom za svaki radni dan kašnjenja umanjivati će se sljedeća situacija za 500 kn dnevno. Ovlaštena osoba naručitelja evidentirati će dane kašnjenja u građevinskom dnevniku ili o svakom danu kašnjenja obavještavati izvoditelja e-mailom.</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Sanacija udarnih rupa uz koje ovlaštena osoba naručitelja stavi oznaku «HITNO» mora se izvesti u roku od najviše dva radna dana s tim da se, po potrebi, oštećenja na kolniku propisno označe odmah po upisu u dnevnik ili dostave obavijesti e-mailom i telefonski.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Ukoliko izvoditelj neopravdano ne pristupi sanaciji oštećenja uz koje stoji oznaka </w:t>
      </w:r>
      <w:r w:rsidRPr="00D06624">
        <w:rPr>
          <w:rFonts w:cs="Arial"/>
          <w:szCs w:val="20"/>
        </w:rPr>
        <w:t xml:space="preserve">«HITNO» </w:t>
      </w:r>
      <w:r w:rsidRPr="00D06624">
        <w:rPr>
          <w:szCs w:val="20"/>
        </w:rPr>
        <w:t>u roku od 2 radna dana po upisu lokacije u građevinski dnevnik ili  dostave obavijesti e-mailom za svaki radni dan kašnjenja umanjivati će se sljedeća situacija za 500 kn dnevno. Ovlaštena osoba naručitelja evidentirati će dane kašnjenja u građevinskom dnevniku ili o svakom danu kašnjenja obavještavati izvoditelja e-mailom.</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Površine koje se pripremaju za sanaciju («otvaraju» se uklanjanjem oštećenog asfalta) moraju se zatvarati (asfaltirati) u roku od 24 sata. Otvorene površine, pripremljena za asfaltiranje  moraju biti obilježene brkljama, noću i svjetlosnom signalizacijom. Izvoditelj je dužan nadoknaditi svaku štetu koja nastane a koja je prouzročena nezatvorenim, odnosno pripremljenim i neobilježenim površinama za asfaltiranje.</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Radovi se moraju izvoditi tako (odabir mehanizacije i tehnologije rada) da se ne oštete objekti (pročelja i drugi dijelovi zgrada, dijelovi ceste) uz koje se radovi izvode. Ukoliko do oštećenja dođe izvoditelj je dužan oštećenje otkloniti u roku od 8 dana od njegovog nastanka odnosno najkasnije tri dana nakon završetka dionice uz koju je nastalo oštećenje.</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Građevinski strojevi, otpadni materijal od uklanjanja oštećenog asfalta, ugradnje novog te svih drugih radova ne smije se odlagati na zelene površine i mora se odvoziti svakodnevno tijekom, odnosno odmah po završetku radova na predmetnoj lokaciji. Ukoliko lokacija na kojoj je izvršena sanacija nije očišćena od  otpadnog materijala, naručitelj će za čišćenje angažirati drugog izvoditelja te će se za iznos troška čišćenja izvoditelju umanjiti sljedeća situacija.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Mrlje od ulja i drugih tekućina nastalih pri izvođenju radova moraju se u potpunosti očistiti sa svih površina.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Izvoditelj je dužan u cijelosti izvesti sve radove na način kako su opisani u pojedinoj stavci troškovnika. Ukoliko ne izvede neku fazu radova opisanu pojedinom stavkom ili odstupi od propisanih dimenzija neće mu se priznati ni platiti sporni rad izveden po navedenoj stavci u cijelosti.</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U slučaju loše izvedenih radova Izvoditelj je dužan iste ponovno izvesti u roku 8 dana od dana upisa zahtjeva za popravak u građevinski dnevnik od strane Ovlaštene osobe naručitelja.</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Ukoliko izvoditelj iz opravdanih razloga želi uvesti neke izmjene stavke troškovnika i načina sanacije u cilju poboljšanja kvalitete izvedenih radova, a bez promjene jedinične cijene, za to mora dobiti odobrenje Ovlaštene osobe naručitelja upisano u građevinski dnevnik.</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Situacija za protekli mjesec se ne može ispostaviti prije potpisanog građevinskog dnevnika za predmetno razdoblje i građevinske knjige od strane Ovlaštene osobe naručitelja. Ispostavljena situacija prije ovjerene građevinske knjige vraća se izvoditelju neovjerena.</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Odluka Ovlaštene osobe naručitelja vezana za tekuće održavanje je konačna i obvezujuća. </w:t>
      </w:r>
    </w:p>
    <w:p w:rsidR="00D06624" w:rsidRDefault="00D06624" w:rsidP="00D06624">
      <w:pPr>
        <w:overflowPunct w:val="0"/>
        <w:autoSpaceDE w:val="0"/>
        <w:autoSpaceDN w:val="0"/>
        <w:adjustRightInd w:val="0"/>
        <w:ind w:firstLine="720"/>
        <w:jc w:val="both"/>
        <w:textAlignment w:val="baseline"/>
        <w:rPr>
          <w:szCs w:val="20"/>
        </w:rPr>
      </w:pPr>
    </w:p>
    <w:p w:rsidR="00D06624" w:rsidRDefault="00D06624" w:rsidP="00D06624">
      <w:pPr>
        <w:overflowPunct w:val="0"/>
        <w:autoSpaceDE w:val="0"/>
        <w:autoSpaceDN w:val="0"/>
        <w:adjustRightInd w:val="0"/>
        <w:ind w:firstLine="720"/>
        <w:jc w:val="both"/>
        <w:textAlignment w:val="baseline"/>
        <w:rPr>
          <w:szCs w:val="20"/>
        </w:rPr>
      </w:pPr>
    </w:p>
    <w:p w:rsidR="00D06624" w:rsidRDefault="00D06624" w:rsidP="00D06624">
      <w:pPr>
        <w:overflowPunct w:val="0"/>
        <w:autoSpaceDE w:val="0"/>
        <w:autoSpaceDN w:val="0"/>
        <w:adjustRightInd w:val="0"/>
        <w:ind w:firstLine="720"/>
        <w:jc w:val="both"/>
        <w:textAlignment w:val="baseline"/>
        <w:rPr>
          <w:szCs w:val="20"/>
        </w:rPr>
      </w:pPr>
    </w:p>
    <w:p w:rsidR="00D06624" w:rsidRDefault="00D06624" w:rsidP="00D06624">
      <w:pPr>
        <w:overflowPunct w:val="0"/>
        <w:autoSpaceDE w:val="0"/>
        <w:autoSpaceDN w:val="0"/>
        <w:adjustRightInd w:val="0"/>
        <w:ind w:firstLine="720"/>
        <w:jc w:val="both"/>
        <w:textAlignment w:val="baseline"/>
        <w:rPr>
          <w:szCs w:val="20"/>
        </w:rPr>
      </w:pPr>
    </w:p>
    <w:p w:rsidR="00D06624" w:rsidRDefault="00D06624" w:rsidP="00D06624">
      <w:pPr>
        <w:overflowPunct w:val="0"/>
        <w:autoSpaceDE w:val="0"/>
        <w:autoSpaceDN w:val="0"/>
        <w:adjustRightInd w:val="0"/>
        <w:ind w:firstLine="720"/>
        <w:jc w:val="both"/>
        <w:textAlignment w:val="baseline"/>
        <w:rPr>
          <w:szCs w:val="20"/>
        </w:rPr>
      </w:pP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Sve sporne količine izvedenih radova izvoditelj mora dokazati mjerenjima u prisustvu Ovlaštene osobe naručitelja.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 xml:space="preserve">Spornu kvalitetu izvedenih radova izvoditelj mora dokazati mjerenjem i ispitivanjem o svom trošku, ovlaštenih poduzeća, u prisustvu Ovlaštene osobe naručitelja. </w:t>
      </w:r>
    </w:p>
    <w:p w:rsidR="00D06624" w:rsidRPr="00D06624" w:rsidRDefault="00D06624" w:rsidP="00D06624">
      <w:pPr>
        <w:overflowPunct w:val="0"/>
        <w:autoSpaceDE w:val="0"/>
        <w:autoSpaceDN w:val="0"/>
        <w:adjustRightInd w:val="0"/>
        <w:ind w:firstLine="720"/>
        <w:jc w:val="both"/>
        <w:textAlignment w:val="baseline"/>
        <w:rPr>
          <w:szCs w:val="20"/>
        </w:rPr>
      </w:pPr>
      <w:r w:rsidRPr="00D06624">
        <w:rPr>
          <w:szCs w:val="20"/>
        </w:rPr>
        <w:t>Ukoliko se izvoditelj ne pridržava gore navedenog načina rada u cijelosti, te se ogluši na upozorenje Ovlaštene osobe naručitelja upisano u građevinski dnevnik Grad Sisak ima pravo raskinuti Ugovor o izvođenju radova.</w:t>
      </w:r>
    </w:p>
    <w:p w:rsidR="00D06624" w:rsidRPr="00D06624" w:rsidRDefault="00D06624" w:rsidP="00D06624">
      <w:pPr>
        <w:tabs>
          <w:tab w:val="left" w:pos="4678"/>
        </w:tabs>
        <w:overflowPunct w:val="0"/>
        <w:autoSpaceDE w:val="0"/>
        <w:autoSpaceDN w:val="0"/>
        <w:adjustRightInd w:val="0"/>
        <w:ind w:firstLine="720"/>
        <w:jc w:val="both"/>
        <w:textAlignment w:val="baseline"/>
        <w:rPr>
          <w:szCs w:val="20"/>
        </w:rPr>
      </w:pPr>
      <w:r w:rsidRPr="00D06624">
        <w:rPr>
          <w:szCs w:val="20"/>
        </w:rPr>
        <w:t>Sve prigovore izvoditelja na rad i odluke Ovlaštene osobe naručitelja Voditelj radova tekućeg održavanja mora iznijeti nadređenoj osobi Ovlaštene osobe naručitelja i zatražiti rješenje mirnim putem. Ukoliko se ne postigne dogovor izvoditelj ima pravo postupiti prema odgovarajućim člancima Ugovora o izvođenju radova.</w:t>
      </w:r>
    </w:p>
    <w:p w:rsidR="00D06624" w:rsidRPr="00D06624" w:rsidRDefault="00D06624" w:rsidP="00D06624">
      <w:pPr>
        <w:tabs>
          <w:tab w:val="left" w:pos="4678"/>
        </w:tabs>
        <w:overflowPunct w:val="0"/>
        <w:autoSpaceDE w:val="0"/>
        <w:autoSpaceDN w:val="0"/>
        <w:adjustRightInd w:val="0"/>
        <w:ind w:firstLine="720"/>
        <w:jc w:val="both"/>
        <w:textAlignment w:val="baseline"/>
        <w:rPr>
          <w:szCs w:val="20"/>
        </w:rPr>
      </w:pPr>
      <w:r w:rsidRPr="00D06624">
        <w:rPr>
          <w:szCs w:val="20"/>
        </w:rPr>
        <w:t>Izvoditelj sam osigurava ovlaštenu deponiju, a ako koristi gradske deponije u režijske troškove mora ukalkulirati i naknadu za deponiranje. Daljinu deponije koju izvoditelj odabere mora ukalkulirati u cijenu troška odvoza.</w:t>
      </w:r>
    </w:p>
    <w:p w:rsidR="00D06624" w:rsidRPr="00D06624" w:rsidRDefault="00D06624" w:rsidP="00D06624">
      <w:pPr>
        <w:overflowPunct w:val="0"/>
        <w:autoSpaceDE w:val="0"/>
        <w:autoSpaceDN w:val="0"/>
        <w:adjustRightInd w:val="0"/>
        <w:jc w:val="both"/>
        <w:textAlignment w:val="baseline"/>
        <w:rPr>
          <w:szCs w:val="20"/>
        </w:rPr>
      </w:pPr>
      <w:r w:rsidRPr="00D06624">
        <w:rPr>
          <w:szCs w:val="20"/>
        </w:rPr>
        <w:tab/>
      </w:r>
    </w:p>
    <w:p w:rsidR="00D06624" w:rsidRPr="00D06624" w:rsidRDefault="00D06624" w:rsidP="00D06624">
      <w:pPr>
        <w:overflowPunct w:val="0"/>
        <w:autoSpaceDE w:val="0"/>
        <w:autoSpaceDN w:val="0"/>
        <w:adjustRightInd w:val="0"/>
        <w:ind w:left="240" w:right="-58"/>
        <w:jc w:val="both"/>
        <w:textAlignment w:val="baseline"/>
        <w:rPr>
          <w:szCs w:val="20"/>
        </w:rPr>
      </w:pPr>
    </w:p>
    <w:p w:rsidR="00D06624" w:rsidRDefault="00D06624"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p w:rsidR="00A644B9" w:rsidRDefault="00A644B9" w:rsidP="00A10D05">
      <w:pPr>
        <w:rPr>
          <w:bCs/>
        </w:rPr>
      </w:pPr>
    </w:p>
    <w:tbl>
      <w:tblPr>
        <w:tblW w:w="9294" w:type="dxa"/>
        <w:tblInd w:w="108" w:type="dxa"/>
        <w:tblLook w:val="04A0" w:firstRow="1" w:lastRow="0" w:firstColumn="1" w:lastColumn="0" w:noHBand="0" w:noVBand="1"/>
      </w:tblPr>
      <w:tblGrid>
        <w:gridCol w:w="661"/>
        <w:gridCol w:w="5980"/>
        <w:gridCol w:w="643"/>
        <w:gridCol w:w="1086"/>
        <w:gridCol w:w="930"/>
      </w:tblGrid>
      <w:tr w:rsidR="00A644B9" w:rsidTr="00EB4C7B">
        <w:trPr>
          <w:trHeight w:val="1470"/>
        </w:trPr>
        <w:tc>
          <w:tcPr>
            <w:tcW w:w="8364" w:type="dxa"/>
            <w:gridSpan w:val="4"/>
            <w:tcBorders>
              <w:top w:val="nil"/>
              <w:left w:val="nil"/>
              <w:bottom w:val="nil"/>
              <w:right w:val="nil"/>
            </w:tcBorders>
            <w:shd w:val="clear" w:color="auto" w:fill="auto"/>
            <w:vAlign w:val="bottom"/>
            <w:hideMark/>
          </w:tcPr>
          <w:p w:rsidR="00A644B9" w:rsidRDefault="00A644B9">
            <w:pPr>
              <w:jc w:val="center"/>
              <w:rPr>
                <w:b/>
                <w:bCs/>
              </w:rPr>
            </w:pPr>
            <w:r>
              <w:rPr>
                <w:b/>
                <w:bCs/>
              </w:rPr>
              <w:lastRenderedPageBreak/>
              <w:t xml:space="preserve">TEKUĆE ODRŽAVANJE NERAZVRSTANIH ASFALTIRANIH PROMETNICA I   </w:t>
            </w:r>
            <w:r>
              <w:rPr>
                <w:b/>
                <w:bCs/>
              </w:rPr>
              <w:br/>
              <w:t xml:space="preserve">      OSTALIH JAVNIH POVRŠINA NA PODRUČJU GRADA SISKA</w:t>
            </w:r>
          </w:p>
        </w:tc>
        <w:tc>
          <w:tcPr>
            <w:tcW w:w="930" w:type="dxa"/>
            <w:tcBorders>
              <w:top w:val="nil"/>
              <w:left w:val="nil"/>
              <w:bottom w:val="nil"/>
              <w:right w:val="nil"/>
            </w:tcBorders>
            <w:shd w:val="clear" w:color="auto" w:fill="auto"/>
            <w:noWrap/>
            <w:vAlign w:val="bottom"/>
            <w:hideMark/>
          </w:tcPr>
          <w:p w:rsidR="00A644B9" w:rsidRDefault="00A644B9">
            <w:pPr>
              <w:jc w:val="center"/>
              <w:rPr>
                <w:b/>
                <w:bCs/>
              </w:rPr>
            </w:pPr>
          </w:p>
        </w:tc>
      </w:tr>
      <w:tr w:rsidR="00A644B9" w:rsidTr="00EB4C7B">
        <w:trPr>
          <w:trHeight w:val="450"/>
        </w:trPr>
        <w:tc>
          <w:tcPr>
            <w:tcW w:w="658" w:type="dxa"/>
            <w:tcBorders>
              <w:top w:val="nil"/>
              <w:left w:val="nil"/>
              <w:bottom w:val="nil"/>
              <w:right w:val="nil"/>
            </w:tcBorders>
            <w:shd w:val="clear" w:color="auto" w:fill="auto"/>
            <w:noWrap/>
            <w:hideMark/>
          </w:tcPr>
          <w:p w:rsidR="00A644B9" w:rsidRDefault="00A644B9">
            <w:pPr>
              <w:rPr>
                <w:sz w:val="20"/>
                <w:szCs w:val="20"/>
              </w:rPr>
            </w:pPr>
          </w:p>
        </w:tc>
        <w:tc>
          <w:tcPr>
            <w:tcW w:w="5980" w:type="dxa"/>
            <w:tcBorders>
              <w:top w:val="nil"/>
              <w:left w:val="nil"/>
              <w:bottom w:val="nil"/>
              <w:right w:val="nil"/>
            </w:tcBorders>
            <w:shd w:val="clear" w:color="auto" w:fill="auto"/>
            <w:vAlign w:val="center"/>
            <w:hideMark/>
          </w:tcPr>
          <w:p w:rsidR="00A644B9" w:rsidRDefault="00A644B9">
            <w:pPr>
              <w:rPr>
                <w:sz w:val="20"/>
                <w:szCs w:val="20"/>
              </w:rPr>
            </w:pPr>
          </w:p>
        </w:tc>
        <w:tc>
          <w:tcPr>
            <w:tcW w:w="640" w:type="dxa"/>
            <w:tcBorders>
              <w:top w:val="nil"/>
              <w:left w:val="nil"/>
              <w:bottom w:val="nil"/>
              <w:right w:val="nil"/>
            </w:tcBorders>
            <w:shd w:val="clear" w:color="auto" w:fill="auto"/>
            <w:noWrap/>
            <w:vAlign w:val="bottom"/>
            <w:hideMark/>
          </w:tcPr>
          <w:p w:rsidR="00A644B9" w:rsidRDefault="00A644B9">
            <w:pPr>
              <w:rPr>
                <w:sz w:val="20"/>
                <w:szCs w:val="20"/>
              </w:rPr>
            </w:pPr>
          </w:p>
        </w:tc>
        <w:tc>
          <w:tcPr>
            <w:tcW w:w="1086" w:type="dxa"/>
            <w:tcBorders>
              <w:top w:val="nil"/>
              <w:left w:val="nil"/>
              <w:bottom w:val="nil"/>
              <w:right w:val="nil"/>
            </w:tcBorders>
            <w:shd w:val="clear" w:color="auto" w:fill="auto"/>
            <w:noWrap/>
            <w:vAlign w:val="bottom"/>
            <w:hideMark/>
          </w:tcPr>
          <w:p w:rsidR="00A644B9" w:rsidRDefault="00A644B9">
            <w:pPr>
              <w:rPr>
                <w:sz w:val="20"/>
                <w:szCs w:val="20"/>
              </w:rPr>
            </w:pPr>
          </w:p>
        </w:tc>
        <w:tc>
          <w:tcPr>
            <w:tcW w:w="930" w:type="dxa"/>
            <w:tcBorders>
              <w:top w:val="nil"/>
              <w:left w:val="nil"/>
              <w:bottom w:val="nil"/>
              <w:right w:val="nil"/>
            </w:tcBorders>
            <w:shd w:val="clear" w:color="auto" w:fill="auto"/>
            <w:noWrap/>
            <w:vAlign w:val="bottom"/>
            <w:hideMark/>
          </w:tcPr>
          <w:p w:rsidR="00A644B9" w:rsidRDefault="00A644B9">
            <w:pPr>
              <w:rPr>
                <w:sz w:val="20"/>
                <w:szCs w:val="20"/>
              </w:rPr>
            </w:pPr>
          </w:p>
        </w:tc>
      </w:tr>
      <w:tr w:rsidR="00A644B9" w:rsidTr="00EB4C7B">
        <w:trPr>
          <w:trHeight w:val="480"/>
        </w:trPr>
        <w:tc>
          <w:tcPr>
            <w:tcW w:w="8364" w:type="dxa"/>
            <w:gridSpan w:val="4"/>
            <w:tcBorders>
              <w:top w:val="nil"/>
              <w:left w:val="nil"/>
              <w:bottom w:val="nil"/>
              <w:right w:val="nil"/>
            </w:tcBorders>
            <w:shd w:val="clear" w:color="auto" w:fill="auto"/>
            <w:noWrap/>
            <w:vAlign w:val="center"/>
            <w:hideMark/>
          </w:tcPr>
          <w:p w:rsidR="00A644B9" w:rsidRDefault="00A644B9">
            <w:pPr>
              <w:rPr>
                <w:b/>
                <w:bCs/>
              </w:rPr>
            </w:pPr>
            <w:r>
              <w:rPr>
                <w:b/>
                <w:bCs/>
              </w:rPr>
              <w:t>I - Obrada i krpanje udarnih rupa</w:t>
            </w:r>
          </w:p>
        </w:tc>
        <w:tc>
          <w:tcPr>
            <w:tcW w:w="930" w:type="dxa"/>
            <w:tcBorders>
              <w:top w:val="nil"/>
              <w:left w:val="nil"/>
              <w:bottom w:val="nil"/>
              <w:right w:val="nil"/>
            </w:tcBorders>
            <w:shd w:val="clear" w:color="auto" w:fill="auto"/>
            <w:noWrap/>
            <w:vAlign w:val="bottom"/>
            <w:hideMark/>
          </w:tcPr>
          <w:p w:rsidR="00A644B9" w:rsidRDefault="00A644B9">
            <w:pPr>
              <w:rPr>
                <w:b/>
                <w:bCs/>
              </w:rPr>
            </w:pPr>
          </w:p>
        </w:tc>
      </w:tr>
      <w:tr w:rsidR="00A644B9" w:rsidTr="00083FD9">
        <w:trPr>
          <w:trHeight w:val="450"/>
        </w:trPr>
        <w:tc>
          <w:tcPr>
            <w:tcW w:w="658" w:type="dxa"/>
            <w:tcBorders>
              <w:top w:val="nil"/>
              <w:left w:val="nil"/>
              <w:bottom w:val="single" w:sz="4" w:space="0" w:color="auto"/>
              <w:right w:val="nil"/>
            </w:tcBorders>
            <w:shd w:val="clear" w:color="auto" w:fill="auto"/>
            <w:noWrap/>
            <w:hideMark/>
          </w:tcPr>
          <w:p w:rsidR="00A644B9" w:rsidRDefault="00A644B9">
            <w:pPr>
              <w:rPr>
                <w:sz w:val="20"/>
                <w:szCs w:val="20"/>
              </w:rPr>
            </w:pPr>
          </w:p>
        </w:tc>
        <w:tc>
          <w:tcPr>
            <w:tcW w:w="5980" w:type="dxa"/>
            <w:tcBorders>
              <w:top w:val="nil"/>
              <w:left w:val="nil"/>
              <w:bottom w:val="single" w:sz="4" w:space="0" w:color="auto"/>
              <w:right w:val="nil"/>
            </w:tcBorders>
            <w:shd w:val="clear" w:color="auto" w:fill="auto"/>
            <w:vAlign w:val="center"/>
            <w:hideMark/>
          </w:tcPr>
          <w:p w:rsidR="00A644B9" w:rsidRDefault="00A644B9">
            <w:pPr>
              <w:rPr>
                <w:sz w:val="20"/>
                <w:szCs w:val="20"/>
              </w:rPr>
            </w:pPr>
          </w:p>
        </w:tc>
        <w:tc>
          <w:tcPr>
            <w:tcW w:w="640" w:type="dxa"/>
            <w:tcBorders>
              <w:top w:val="nil"/>
              <w:left w:val="nil"/>
              <w:bottom w:val="single" w:sz="4" w:space="0" w:color="auto"/>
              <w:right w:val="nil"/>
            </w:tcBorders>
            <w:shd w:val="clear" w:color="auto" w:fill="auto"/>
            <w:noWrap/>
            <w:vAlign w:val="bottom"/>
            <w:hideMark/>
          </w:tcPr>
          <w:p w:rsidR="00A644B9" w:rsidRDefault="00A644B9">
            <w:pPr>
              <w:rPr>
                <w:sz w:val="20"/>
                <w:szCs w:val="20"/>
              </w:rPr>
            </w:pPr>
          </w:p>
        </w:tc>
        <w:tc>
          <w:tcPr>
            <w:tcW w:w="1086" w:type="dxa"/>
            <w:tcBorders>
              <w:top w:val="nil"/>
              <w:left w:val="nil"/>
              <w:bottom w:val="single" w:sz="4" w:space="0" w:color="auto"/>
              <w:right w:val="nil"/>
            </w:tcBorders>
            <w:shd w:val="clear" w:color="auto" w:fill="auto"/>
            <w:noWrap/>
            <w:vAlign w:val="bottom"/>
            <w:hideMark/>
          </w:tcPr>
          <w:p w:rsidR="00A644B9" w:rsidRDefault="00A644B9">
            <w:pPr>
              <w:rPr>
                <w:sz w:val="20"/>
                <w:szCs w:val="20"/>
              </w:rPr>
            </w:pPr>
          </w:p>
        </w:tc>
        <w:tc>
          <w:tcPr>
            <w:tcW w:w="930" w:type="dxa"/>
            <w:tcBorders>
              <w:top w:val="nil"/>
              <w:left w:val="nil"/>
              <w:bottom w:val="single" w:sz="4" w:space="0" w:color="auto"/>
              <w:right w:val="nil"/>
            </w:tcBorders>
            <w:shd w:val="clear" w:color="auto" w:fill="auto"/>
            <w:noWrap/>
            <w:vAlign w:val="bottom"/>
            <w:hideMark/>
          </w:tcPr>
          <w:p w:rsidR="00A644B9" w:rsidRDefault="00A644B9">
            <w:pPr>
              <w:rPr>
                <w:sz w:val="20"/>
                <w:szCs w:val="20"/>
              </w:rPr>
            </w:pPr>
          </w:p>
        </w:tc>
      </w:tr>
      <w:tr w:rsidR="00A644B9" w:rsidTr="00083FD9">
        <w:trPr>
          <w:trHeight w:val="231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I/1</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Razbijanje asfalta kompresorom na oštećenoj površini kolnika, odvajanje od podloge, utovar u vozila i odvoz otpada na deponiju. Kalkulacija na bazi prosječne debljine sloja koji se uklanja od cca 6 cm.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EB4C7B" w:rsidP="00EB4C7B">
            <w:pPr>
              <w:jc w:val="right"/>
            </w:pPr>
            <w:r>
              <w:t>1.5</w:t>
            </w:r>
            <w:r w:rsidR="00A644B9">
              <w:t>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87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I/2</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Razbijanje asfalta kompresorom na oštećenoj površini na pješačkim stazama, odvajanje od podloge, utovar u vozila i odvoz otpada na deponiju. Kalkulacija na bazi prosječne debljine sloja koji se uklanja od cca 5 cm.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282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I/3</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Uklanjanje asfaltnog sloja sa oštećenih površina frezom. Početak i završetak frezane površine potrebno je obrezati pilom ili kompresorom na dubinu frezanja zbog boljeg spajanja i uklapanja visina starog i novog asfalta  Prosječna debljina frezanja je 4 cm, ne manja od 3 cm. Stavka sadrži i vozila za prihvat frezanog materijala.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sidP="00EB4C7B">
            <w:pPr>
              <w:ind w:right="-81"/>
              <w:jc w:val="right"/>
            </w:pPr>
            <w:r>
              <w:t>1.500,00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36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I/4</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Strojni iskop degradiranog, mješanog, većinom kamenog i šljunkovitog materijala, nakon uklanjanja asfaltnih slojeva. Iskop se izvodi u slučaju potrebe spuštanja nivelete i u slučaju kada se nakon uklanjanja zastora utvrdi da je tampon nenosiv i tehnički neispravan. Iskop se izvodi na način da se ne poremete postojeći uzdužni i poprečni padovi na posteljici. Stavka sadrži utovar u vozila i odvoz na deponiju.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top w:val="single" w:sz="4" w:space="0" w:color="auto"/>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990"/>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I/5</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Sanacija dubokih rupa i ulegnuća na kolniku na površinama gdje je došlo do rastresanja ili ispiranja tampona:</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320"/>
        </w:trPr>
        <w:tc>
          <w:tcPr>
            <w:tcW w:w="658" w:type="dxa"/>
            <w:vMerge/>
            <w:tcBorders>
              <w:top w:val="single" w:sz="4" w:space="0" w:color="auto"/>
              <w:left w:val="single" w:sz="4" w:space="0" w:color="auto"/>
              <w:bottom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tcBorders>
            <w:shd w:val="clear" w:color="auto" w:fill="auto"/>
            <w:vAlign w:val="bottom"/>
            <w:hideMark/>
          </w:tcPr>
          <w:p w:rsidR="00A644B9" w:rsidRDefault="00A644B9">
            <w:r>
              <w:t>5.1.Iskop rastresenog tampona strojno uz potrebne ručne popravke (80 % strojno, 20 % ručno), utovar u vozila i odvoz  na deponiju, te ravnanje deponije.</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450"/>
        </w:trPr>
        <w:tc>
          <w:tcPr>
            <w:tcW w:w="658" w:type="dxa"/>
            <w:vMerge/>
            <w:tcBorders>
              <w:top w:val="single" w:sz="4" w:space="0" w:color="auto"/>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1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1000" w:firstLine="2400"/>
            </w:pPr>
            <w:r>
              <w:t>a) kolnik</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31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1000" w:firstLine="2400"/>
            </w:pPr>
            <w:r>
              <w:t>b) nogostup</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36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75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5.2. Dobava, dovoz i ugradnja drobljenog kamena optimalnog granulometrijskog sastava, u debljini potrebnoj da se nadomjesti, prema stavci 6.1., uklonjeni, odnosno isprani tampon. Kvaliteta tampona mora odgovarati standardima propisanim u točki 3.1.1.4. OTU za radove na cestama veličine zrna 0-31 cm.</w:t>
            </w:r>
            <w:r>
              <w:br/>
              <w:t>Drobljeni kamen se ugrađuje u slojevima debljine   10-20 cm uz nabijanje odgovarajućim strojevima.</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0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1000" w:firstLine="2400"/>
            </w:pPr>
            <w:r>
              <w:t>a) kolnik</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30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1000" w:firstLine="2400"/>
            </w:pPr>
            <w:r>
              <w:t>b) nogostup</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jc w:val="cente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70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I/6</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dovoz i ugradnja (grejdiranje i ravnanje cijele površine prije ugradnje, razastiranje i uvaljavanje) drobljenog kamena. Debljina sloja je cca 10.15 cm od drobljenog kamena veličine zrna od 0 do 31 mm. Kvaliteta ugrađenog drobljenog kamena ispituje se prema hrvatskim normama za određivanje kvalitete u mehanički zbijenim nosivim slojevima. Rezultati ispitivanja moraju odgovarati zahtjevima iz OTU-a za radove na cestama.</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right"/>
            </w:pPr>
          </w:p>
        </w:tc>
      </w:tr>
      <w:tr w:rsidR="00A644B9" w:rsidTr="00083FD9">
        <w:trPr>
          <w:trHeight w:val="420"/>
        </w:trPr>
        <w:tc>
          <w:tcPr>
            <w:tcW w:w="658" w:type="dxa"/>
            <w:tcBorders>
              <w:left w:val="single" w:sz="4" w:space="0" w:color="auto"/>
              <w:bottom w:val="single" w:sz="4" w:space="0" w:color="auto"/>
            </w:tcBorders>
            <w:shd w:val="clear" w:color="auto" w:fill="auto"/>
            <w:noWrap/>
            <w:hideMark/>
          </w:tcPr>
          <w:p w:rsidR="00A644B9" w:rsidRDefault="00A644B9">
            <w:pPr>
              <w:jc w:val="cente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87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lastRenderedPageBreak/>
              <w:t>I/7</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Izrada sloja cementne stabilizacije (150 kg cementa na m3) na dubokim oštećenim mjestima i na jače prometno opterećenim površinama  u debljini 10-15 cm, uz odobrenje Ovlaštene osobe naručitelja.</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2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24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I/8</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 xml:space="preserve">Dobava i ugradnja asfaltne mješavine na pješačke staze u sklopu redovnog održavanja staza.                                      </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2580"/>
        </w:trPr>
        <w:tc>
          <w:tcPr>
            <w:tcW w:w="658" w:type="dxa"/>
            <w:tcBorders>
              <w:left w:val="single" w:sz="4" w:space="0" w:color="auto"/>
              <w:righ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a) Postojeća pripremljena asfaltna površina      (potkrpana i izravnata) čisti se od smeća, otprašuje i prska emulzijom. Na tako pripremljenu podlogu ugrađuje se sloj asfalt betona prosječne debljine 4 cm. Veličina zrna u mješavini od 0-8 mm. Spojeve novog i postojećeg asfalta zaliti emulzijom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785"/>
        </w:trPr>
        <w:tc>
          <w:tcPr>
            <w:tcW w:w="658" w:type="dxa"/>
            <w:tcBorders>
              <w:left w:val="single" w:sz="4" w:space="0" w:color="auto"/>
              <w:righ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b) na pripremljen tampon ugrađuje se sloj asfalt betona prosječne debljine 4 cm. Veličina zrna u mješavini od 0-8 mm. Spojevi novog i postojećeg asfalta zaliti emulzijom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80"/>
        </w:trPr>
        <w:tc>
          <w:tcPr>
            <w:tcW w:w="658" w:type="dxa"/>
            <w:tcBorders>
              <w:lef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785"/>
        </w:trPr>
        <w:tc>
          <w:tcPr>
            <w:tcW w:w="658" w:type="dxa"/>
            <w:tcBorders>
              <w:left w:val="single" w:sz="4" w:space="0" w:color="auto"/>
              <w:righ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c) ručna ugradnja asfalt betona prosječne debljine 4 cm, veličina zrna u mješavini od 0-8 mm, uključivo ručni transport građevinskim kolicima H=30 m</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right w:val="single" w:sz="4" w:space="0" w:color="auto"/>
            </w:tcBorders>
            <w:shd w:val="clear" w:color="auto" w:fill="auto"/>
            <w:vAlign w:val="center"/>
            <w:hideMark/>
          </w:tcPr>
          <w:p w:rsidR="00A644B9" w:rsidRDefault="00A644B9">
            <w:r>
              <w:t xml:space="preserve">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965"/>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lastRenderedPageBreak/>
              <w:t>I/9</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Krpanje rupa. Dobava i ugradnja asfaltne mješavine na oštećena mjesta kolnika i ostalih prometnih površina, a nakon obrezivanja i uklanjanja degradiranih slojeva. Površine na koje će se ugrađivati asfalt prethodno treba očistiti od smeća, otprašiti i omazati podlogu i spojeve emulzijom. Nakon ugradnje, spojeve starog i novog asfalta zaliti emulzijom. Za ugradnju upotrijebiti mješavinu za habajući sloj veličine zrna od 0-8 mm koja se ugrađuje u jednom sloju, a obračunava po m2. Stavka uključuje i opsjecanje oštečenih mijesta na asfaltnom kolniku pilom ili kompresorom prosječne dubine 5 cm</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1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                       a) -debljine 5,1- 7 cm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EB4C7B" w:rsidP="00EB4C7B">
            <w:pPr>
              <w:ind w:right="-81"/>
              <w:jc w:val="right"/>
            </w:pPr>
            <w:r>
              <w:t>1.5</w:t>
            </w:r>
            <w:r w:rsidR="00A644B9">
              <w:t>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31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                       b) -debljine 3-5 cm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EB4C7B" w:rsidP="00EB4C7B">
            <w:pPr>
              <w:ind w:right="-81"/>
              <w:jc w:val="right"/>
            </w:pPr>
            <w:r>
              <w:t>1.0</w:t>
            </w:r>
            <w:r w:rsidR="00A644B9">
              <w:t>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283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I/10</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Odvoz i deponiranje frezanog materijala na deponiju koju uz suglasnost naručitelja osigurava izvoditelj. Obračun po m</w:t>
            </w:r>
            <w:r>
              <w:rPr>
                <w:vertAlign w:val="superscript"/>
              </w:rPr>
              <w:t xml:space="preserve">3 </w:t>
            </w:r>
            <w:r>
              <w:t>uklonjenog asfalta prije frezanja  (bez faktora rastresitosti). Materijal ostaje na deponiji do utovara i odvoza na neasfaltirane kolnike. Izvoditelj mora omogućiti investitoru preuzimanje materijala.</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600"/>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I/11</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Dobava i ugradnja asfaltne mase na kolnike kao izravnavajući sloj.</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1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300" w:firstLine="720"/>
              <w:jc w:val="right"/>
            </w:pPr>
            <w:r>
              <w:t>a) kolnik BNS  16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36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300" w:firstLine="720"/>
              <w:jc w:val="right"/>
            </w:pPr>
            <w:r>
              <w:t xml:space="preserve">                         b) kolnik AB 11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31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300" w:firstLine="720"/>
              <w:jc w:val="right"/>
            </w:pPr>
            <w:r>
              <w:t xml:space="preserve">                          c) nogostup AB 11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247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I/12</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Popravak uzdužnih i poprečnih pukotina. Stavka obuhvaća frezanje pukotina u asfaltu radi proširenja pukotine na širinu do 15 mm. Čišćenje pukotina ispuhivanjem ili pranjem pod pritiskom. Pripremljene pukotine zapunjavaju se odgovarajućom bitumenskom masom za pukotine, te se završno čisti kolnik.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600,00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54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I/13</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Zimsko krpanje udarnih rupa hladnim asfaltom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40,00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top w:val="single" w:sz="4" w:space="0" w:color="auto"/>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204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I/14</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Uređenje bankina širine 50-80 cm uz rub asfaltnog kolnika. Stavka obuhvaća uklanjanje materijala sa postojećih bankina, planiranje i ravnanje te dobavu i ugradnju drobljenog kamena veličine zrna 0-31 mm. Debljina ugrađenog sloja prosječno 10 cm.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sidP="00EB4C7B">
            <w:pPr>
              <w:ind w:right="-224"/>
              <w:jc w:val="right"/>
            </w:pPr>
            <w:r>
              <w:t>5.000,</w:t>
            </w:r>
            <w:r w:rsidR="00EB4C7B">
              <w:t>0</w:t>
            </w:r>
            <w:r>
              <w:t>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60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center"/>
              <w:rPr>
                <w:rFonts w:ascii="Arial" w:hAnsi="Arial" w:cs="Arial"/>
                <w:b/>
                <w:bCs/>
                <w:sz w:val="20"/>
                <w:szCs w:val="20"/>
              </w:rPr>
            </w:pPr>
            <w:r>
              <w:rPr>
                <w:rFonts w:ascii="Arial" w:hAnsi="Arial" w:cs="Arial"/>
                <w:b/>
                <w:bCs/>
                <w:sz w:val="20"/>
                <w:szCs w:val="20"/>
              </w:rPr>
              <w:t>I - Obrada i krpanje udarnih rupa ukupno:</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center"/>
              <w:rPr>
                <w:rFonts w:ascii="Arial" w:hAnsi="Arial" w:cs="Arial"/>
                <w:b/>
                <w:bCs/>
                <w:sz w:val="20"/>
                <w:szCs w:val="20"/>
              </w:rPr>
            </w:pPr>
          </w:p>
        </w:tc>
      </w:tr>
      <w:tr w:rsidR="00A644B9" w:rsidTr="00090B03">
        <w:trPr>
          <w:trHeight w:val="315"/>
        </w:trPr>
        <w:tc>
          <w:tcPr>
            <w:tcW w:w="658" w:type="dxa"/>
            <w:tcBorders>
              <w:top w:val="single" w:sz="4" w:space="0" w:color="auto"/>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p w:rsidR="00073DEE" w:rsidRDefault="00073DEE">
            <w:pPr>
              <w:rPr>
                <w:sz w:val="20"/>
                <w:szCs w:val="20"/>
              </w:rPr>
            </w:pPr>
          </w:p>
          <w:p w:rsidR="00073DEE" w:rsidRDefault="00073DEE">
            <w:pPr>
              <w:rPr>
                <w:sz w:val="20"/>
                <w:szCs w:val="20"/>
              </w:rPr>
            </w:pPr>
          </w:p>
          <w:p w:rsidR="00073DEE" w:rsidRDefault="00073DEE">
            <w:pPr>
              <w:rPr>
                <w:sz w:val="20"/>
                <w:szCs w:val="20"/>
              </w:rPr>
            </w:pPr>
          </w:p>
          <w:p w:rsidR="00073DEE" w:rsidRDefault="00073DEE">
            <w:pPr>
              <w:rPr>
                <w:sz w:val="20"/>
                <w:szCs w:val="20"/>
              </w:rPr>
            </w:pPr>
          </w:p>
          <w:p w:rsidR="00073DEE" w:rsidRDefault="00073DEE">
            <w:pPr>
              <w:rPr>
                <w:sz w:val="20"/>
                <w:szCs w:val="20"/>
              </w:rPr>
            </w:pPr>
          </w:p>
          <w:p w:rsidR="00073DEE" w:rsidRDefault="00073DEE">
            <w:pPr>
              <w:rPr>
                <w:sz w:val="20"/>
                <w:szCs w:val="20"/>
              </w:rPr>
            </w:pPr>
          </w:p>
          <w:p w:rsidR="00073DEE" w:rsidRDefault="00073DEE">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510"/>
        </w:trPr>
        <w:tc>
          <w:tcPr>
            <w:tcW w:w="8364" w:type="dxa"/>
            <w:gridSpan w:val="4"/>
            <w:tcBorders>
              <w:top w:val="single" w:sz="4" w:space="0" w:color="auto"/>
              <w:left w:val="single" w:sz="4" w:space="0" w:color="auto"/>
              <w:bottom w:val="single" w:sz="4" w:space="0" w:color="auto"/>
            </w:tcBorders>
            <w:shd w:val="clear" w:color="auto" w:fill="auto"/>
            <w:noWrap/>
            <w:vAlign w:val="center"/>
            <w:hideMark/>
          </w:tcPr>
          <w:p w:rsidR="00EB4C7B" w:rsidRDefault="00EB4C7B">
            <w:pPr>
              <w:rPr>
                <w:rFonts w:ascii="Arial" w:hAnsi="Arial" w:cs="Arial"/>
                <w:b/>
                <w:bCs/>
                <w:sz w:val="20"/>
                <w:szCs w:val="20"/>
              </w:rPr>
            </w:pPr>
          </w:p>
          <w:p w:rsidR="00EB4C7B" w:rsidRDefault="00EB4C7B">
            <w:pPr>
              <w:rPr>
                <w:rFonts w:ascii="Arial" w:hAnsi="Arial" w:cs="Arial"/>
                <w:b/>
                <w:bCs/>
                <w:sz w:val="20"/>
                <w:szCs w:val="20"/>
              </w:rPr>
            </w:pPr>
          </w:p>
          <w:p w:rsidR="00EB4C7B" w:rsidRDefault="00EB4C7B">
            <w:pPr>
              <w:rPr>
                <w:rFonts w:ascii="Arial" w:hAnsi="Arial" w:cs="Arial"/>
                <w:b/>
                <w:bCs/>
                <w:sz w:val="20"/>
                <w:szCs w:val="20"/>
              </w:rPr>
            </w:pPr>
          </w:p>
          <w:p w:rsidR="00A644B9" w:rsidRDefault="00A644B9">
            <w:pPr>
              <w:rPr>
                <w:rFonts w:ascii="Arial" w:hAnsi="Arial" w:cs="Arial"/>
                <w:b/>
                <w:bCs/>
                <w:sz w:val="20"/>
                <w:szCs w:val="20"/>
              </w:rPr>
            </w:pPr>
            <w:r>
              <w:rPr>
                <w:rFonts w:ascii="Arial" w:hAnsi="Arial" w:cs="Arial"/>
                <w:b/>
                <w:bCs/>
                <w:sz w:val="20"/>
                <w:szCs w:val="20"/>
              </w:rPr>
              <w:t>II - Uređaji za odvodnju</w:t>
            </w: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rFonts w:ascii="Arial" w:hAnsi="Arial" w:cs="Arial"/>
                <w:b/>
                <w:bCs/>
                <w:sz w:val="20"/>
                <w:szCs w:val="20"/>
              </w:rPr>
            </w:pPr>
          </w:p>
        </w:tc>
      </w:tr>
      <w:tr w:rsidR="00A644B9" w:rsidTr="00083FD9">
        <w:trPr>
          <w:trHeight w:val="45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510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II/1</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Slivnik od betonskih cijevi Ø 500 mm. Betonske cijevi polažu se na podlogu od betona C 12/15, debljine 10 cm. Dubina slivnika iznosi 1,5 m. Cijevi moraju imati izbušene rupe za spoj slivnka na cestovnu kanalizaciju, te spoj drenaže na slivnik. Sve spojeve brtviti cementnim mortom. Na slivnik se postavlja u betonski prsten slivnička rešetka tip na vijak veličine 400/400 mm, nosivosti 150 kN, i mase 115 kg. HRN M.J6.211. Slivnik se cijelom visinom oblaže košuljicom od betona C 8/10 debljine 10 cm. Ova stavka sadrži sav potreban materijal i rad. Visine slivničkih rešetki određuje  i na teren prenosi geodet i inženjer iz stavke II/1. i II/3.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4,00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30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534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lastRenderedPageBreak/>
              <w:t>II/2</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Slivnik od PE cijevi unutarnjeg promjera 500 mm ( DN/ID 500 ) za slivnike. Dno slivnika debljine 10 cm izrađuje se betonom  C 12/15.Dubina slivnika iznosi 1,5 m. Cijevi moraju imati izbušene rupe za spoj slivnka na cestovnu kanalizaciju, te spoj drenaže na slivnik. Sve spojeve brtviti cementnim mortom. Na slivnik se postavlja u betonski prsten slivnička rešetka tip na vijak veličine 400/400 mm, nosivosti 150 kN, i mase 115 kg. HRN M.J6.211. Slivnik se cijelom visinom oblaže košuljicom od betona C 8/10 debljine 10 cm. Ova stavka sadrži sav potreban materijal i rad. Visine slivničkih rešetki određuje  i na teren prenosi geodet i inženjer iz stavke II/1. i II/3.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232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II/3</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Vađenje postojeće slivničke lijevano željezne rešetke sa okvirom, te njeno podizanje ili spuštanje (niveliranje na visinu kolnika) s ponovnom ugradnjom u betonski jastuk C 16/20. Stavka obuhvaća i potreban beton i obradu kolnika oko rešetke u širini do 50 cm od ivice rešetke.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59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II/4</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Vađenje postojećeg lijevanog željeznog poklopca revizionog okna, sa okvirom te njegovo podizanje ili spuštanje (niveliranje na visinu kolnika) uz ponovnu ugradnju u betonski jastuk C 16/20.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99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II/5</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lijevano željeznog standardnog poklopca revizionog okna  za teški promet u postojeći okvir.</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318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lastRenderedPageBreak/>
              <w:t>II/6</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Vađenje kapa postojećih škrinjica kućnog vodovodnog priključka ili hidranta, te njeno podizanje ili spuštanje, uz ponovnu ugradnju u betonski jastuk C 16/20. Oko škrinjice obraditi dio kolnika minimalne dimenzije 50/50 cm. O izvođenju radova na škrinjicama obavezno je obavijestiti Sisački vodovod d.o.o. (Sve eventualno potrebne monterske radove na škrinjicama izvodi isključivo Sisački vodovod d.o.o.)</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88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II/7</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Vađenje postojećeg oštećenog okvira lijevano željezne slivničke rešetke s odvozom na deponiju.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96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II/8</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Vađenje postojećeg oštećenog okvira lijevano željeznog kanalizacionog poklopca s odvozom na deponiju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87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II/9</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lijevano željezne slivničke rešetke sa okvirom, u  jastuk od betona C 16/20, s uređenjem površine kolnika u širini do 50 cm od ivice okvira rešetke. Rešetke tip na vijak, dimenzija 400 x 400 mm nosivosti 150 kN.</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83FD9">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156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II/10</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lijevanog željeznog poklopca sa okvirom, za teški promet, na reviziono okno,u jastuk od betona C 16/20,s uređenjem površine kolnika u širini do 50 cm od ivice okvira poklopca</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60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II/11</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Demontaža postojećih okvira kišnih rešetki sa sifonom, utovar i odvoz</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30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II/12</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kvadratne kišne rešetke sa sifonom vel. 400/400 mm. Rešetka se ugrađuje na postojeći slivnik,uključivo potrebna oplata i čiščenje slivnika.</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3705"/>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lastRenderedPageBreak/>
              <w:t>II/13</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Dobava i ugradnja tipskih plastičnih cijevi za odvodnju i priključak slivnika na reviziona okna. Cijevi se postavljaju na betonsku podlogu debljine 10 cm,  betona C 16/20, spajaju i brtve tipskim brtvama. Nakon polaganja cijevi se oblažu betonskom oblogom po cijelom obodu debljine 10 cm i zatrpavaju pijeskom i šljunkom u slojevima, s nabijanjem. Stavka uključuje rad i sav potrebni montažni materijal do potpune pogonske sposobnosti.</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40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300" w:firstLine="720"/>
              <w:jc w:val="right"/>
            </w:pPr>
            <w:r>
              <w:t xml:space="preserve">                    Ø 150 mm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6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300" w:firstLine="720"/>
              <w:jc w:val="right"/>
            </w:pPr>
            <w:r>
              <w:t>Ø 200 mm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679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II/14</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Podužni slivnički kanal, dobava i ugradnja. Tipski elementi kanala od polimerbetona polažu se u podlogu i oblogu od betona C 16/20 debljine 10 cm. Svjetla širina kanala je tipska, orjentaciona širina kanalskog elementa je 15 cm, svjetla dubina maksimalno 20 cm. Kanalska rešetka se postavlja sukladno uzdužnim padovima kolnika, u nivou gotovog asfalta. Kanal se priključuje na ulične slivnike. Kanal mora imati ljevanoželjeznu rešetku za teški promet. Rešetke moraju imati sistem za pričvršćivanje tako da se spriječi pomicanje i krađa, a rešetka se može podizati samo uz pomoć tipskog ključa radi čišćenja. Stavka sadrži iskop kanala potrebne dimenzije za ugradnju tipskih elemenata slivničkog kanala uključivo oblogu i podlogu te razbijanje i priključak na postojeće slivnike. Obračun po dužnom metru kanala ugrađenog i obrađenog do potpune funkcionalnosti.</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8,00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51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center"/>
              <w:rPr>
                <w:rFonts w:ascii="Arial" w:hAnsi="Arial" w:cs="Arial"/>
                <w:b/>
                <w:bCs/>
                <w:sz w:val="20"/>
                <w:szCs w:val="20"/>
              </w:rPr>
            </w:pPr>
            <w:r>
              <w:rPr>
                <w:rFonts w:ascii="Arial" w:hAnsi="Arial" w:cs="Arial"/>
                <w:b/>
                <w:bCs/>
                <w:sz w:val="20"/>
                <w:szCs w:val="20"/>
              </w:rPr>
              <w:t>II - Uređaji za odvodnju ukupno:</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center"/>
              <w:rPr>
                <w:rFonts w:ascii="Arial" w:hAnsi="Arial" w:cs="Arial"/>
                <w:b/>
                <w:bCs/>
                <w:sz w:val="20"/>
                <w:szCs w:val="20"/>
              </w:rPr>
            </w:pPr>
          </w:p>
        </w:tc>
      </w:tr>
      <w:tr w:rsidR="00A644B9" w:rsidTr="00090B03">
        <w:trPr>
          <w:trHeight w:val="315"/>
        </w:trPr>
        <w:tc>
          <w:tcPr>
            <w:tcW w:w="658" w:type="dxa"/>
            <w:tcBorders>
              <w:top w:val="single" w:sz="4" w:space="0" w:color="auto"/>
              <w:lef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675"/>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bottom w:val="single" w:sz="4" w:space="0" w:color="auto"/>
            </w:tcBorders>
            <w:shd w:val="clear" w:color="auto" w:fill="auto"/>
            <w:vAlign w:val="center"/>
            <w:hideMark/>
          </w:tcPr>
          <w:p w:rsidR="00A644B9" w:rsidRDefault="00A644B9">
            <w:pPr>
              <w:rPr>
                <w:sz w:val="20"/>
                <w:szCs w:val="20"/>
              </w:rPr>
            </w:pPr>
          </w:p>
        </w:tc>
        <w:tc>
          <w:tcPr>
            <w:tcW w:w="640" w:type="dxa"/>
            <w:tcBorders>
              <w:bottom w:val="single" w:sz="4" w:space="0" w:color="auto"/>
            </w:tcBorders>
            <w:shd w:val="clear" w:color="auto" w:fill="auto"/>
            <w:noWrap/>
            <w:vAlign w:val="bottom"/>
            <w:hideMark/>
          </w:tcPr>
          <w:p w:rsidR="00A644B9" w:rsidRDefault="00A644B9">
            <w:pPr>
              <w:rPr>
                <w:sz w:val="20"/>
                <w:szCs w:val="20"/>
              </w:rPr>
            </w:pPr>
          </w:p>
        </w:tc>
        <w:tc>
          <w:tcPr>
            <w:tcW w:w="1086" w:type="dxa"/>
            <w:tcBorders>
              <w:bottom w:val="single" w:sz="4" w:space="0" w:color="auto"/>
            </w:tcBorders>
            <w:shd w:val="clear" w:color="auto" w:fill="auto"/>
            <w:noWrap/>
            <w:vAlign w:val="bottom"/>
            <w:hideMark/>
          </w:tcPr>
          <w:p w:rsidR="00A644B9" w:rsidRDefault="00A644B9">
            <w:pPr>
              <w:rPr>
                <w:sz w:val="20"/>
                <w:szCs w:val="20"/>
              </w:rPr>
            </w:pPr>
          </w:p>
        </w:tc>
        <w:tc>
          <w:tcPr>
            <w:tcW w:w="930" w:type="dxa"/>
            <w:tcBorders>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510"/>
        </w:trPr>
        <w:tc>
          <w:tcPr>
            <w:tcW w:w="8364" w:type="dxa"/>
            <w:gridSpan w:val="4"/>
            <w:tcBorders>
              <w:top w:val="single" w:sz="4" w:space="0" w:color="auto"/>
              <w:left w:val="single" w:sz="4" w:space="0" w:color="auto"/>
              <w:bottom w:val="single" w:sz="4" w:space="0" w:color="auto"/>
            </w:tcBorders>
            <w:shd w:val="clear" w:color="auto" w:fill="auto"/>
            <w:noWrap/>
            <w:vAlign w:val="center"/>
            <w:hideMark/>
          </w:tcPr>
          <w:p w:rsidR="00A644B9" w:rsidRDefault="00A644B9">
            <w:pPr>
              <w:rPr>
                <w:rFonts w:ascii="Arial" w:hAnsi="Arial" w:cs="Arial"/>
                <w:b/>
                <w:bCs/>
                <w:sz w:val="20"/>
                <w:szCs w:val="20"/>
              </w:rPr>
            </w:pPr>
            <w:r>
              <w:rPr>
                <w:rFonts w:ascii="Arial" w:hAnsi="Arial" w:cs="Arial"/>
                <w:b/>
                <w:bCs/>
                <w:sz w:val="20"/>
                <w:szCs w:val="20"/>
              </w:rPr>
              <w:t>III - Betonski elementi uz asfaltirane površine</w:t>
            </w: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rFonts w:ascii="Arial" w:hAnsi="Arial" w:cs="Arial"/>
                <w:b/>
                <w:bCs/>
                <w:sz w:val="20"/>
                <w:szCs w:val="20"/>
              </w:rPr>
            </w:pPr>
          </w:p>
        </w:tc>
      </w:tr>
      <w:tr w:rsidR="00A644B9" w:rsidTr="00090B03">
        <w:trPr>
          <w:trHeight w:val="450"/>
        </w:trPr>
        <w:tc>
          <w:tcPr>
            <w:tcW w:w="658" w:type="dxa"/>
            <w:tcBorders>
              <w:top w:val="single" w:sz="4" w:space="0" w:color="auto"/>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260"/>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lastRenderedPageBreak/>
              <w:t>III/1</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Razbijanje betonskog jastuka ispod rubnjaka, vađenje rubnjaka i betona od jastuka, utovar u vozila  i odvoz na deponiju.</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43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ind w:firstLineChars="1000" w:firstLine="2400"/>
            </w:pPr>
            <w:r>
              <w:t xml:space="preserve">vel. 10/20 cm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2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ind w:firstLineChars="1000" w:firstLine="2400"/>
            </w:pPr>
            <w:r>
              <w:t xml:space="preserve">vel. 18/24 cm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2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ind w:firstLineChars="1000" w:firstLine="2400"/>
            </w:pPr>
            <w:r>
              <w:t xml:space="preserve">vel. 18/40 cm  (kosi)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8,00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45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III/2</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betonskih rubnjaka vel. 10/20 cm. Rubnjaci se ugrađuju u betonski jastuk od betona C 12/15, veličine 30/20 cm a reške se ispunjavaju cementnim mortom.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920"/>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III/3</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Dobava i ugradnja tipskih betonskih cestovnih rubnjaka. Rubnjaci se ugrađuju u betonski jastuk od betona C 12/15, odgovarajuće veličine za pojedine vrste rubnjaka (20-50/20 cm), a reške se ispunjavaju cementnim mortom.</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39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400" w:firstLine="960"/>
            </w:pPr>
            <w:r>
              <w:t>ravni, veli. 18/24 cm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2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600" w:firstLine="1440"/>
              <w:jc w:val="right"/>
            </w:pPr>
            <w:r>
              <w:t xml:space="preserve">        skošeni za ulaze 18/40 cm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8,00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201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III/4</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Popravak postojećih utonulih rubnjaka. Rad se sastoji od pažljivog vađenja utonulog rubnjaka, čišćenja rubnjaka i podloge, odvoz otpadnog materijala na deponiju, te ponovne ugradnje istog rubnjaka u  betonski jastuk C 12/15.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02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III/5</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Razbijanje betonskog jastuka ispod rigola, vađenje rigola i betona od jastuka, utovar u vozila i odvoz na deponiju.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72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III/6</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betonskih rigola C 30/37, širine 40 cm i dubine 3 cm. Rigoli se postavljaju u betonski jastuk od betona C 12/15, debljine min.10 cm, a reške se ispunjavaju cementnim mortom.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65"/>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220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lastRenderedPageBreak/>
              <w:t>III/7</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44B9" w:rsidRDefault="00A644B9">
            <w:pPr>
              <w:spacing w:after="240"/>
            </w:pPr>
            <w:r>
              <w:t>Izvedba invalidskih rampi od betonskih elemenata 10/10 cm debljine 6 cm, crvene boje koji se postavljaju  u sloj pijeska veličine zrna do 4 mm debljine sloja 2 cm ispod kojeg je izvedena podloga od betona C 16/20 debljine 10 cm, s padovima, prilagođena visinama nogostupa i kolnika</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40,00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56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III/8</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Uklanjanje postojećeg opločenja (betonske ploče, betonske elementi, kulir ploče i sl.) vađenje zajedno sa eventualnom betonskom podlogom, utovar u vozila i odvoz na deponiju.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860"/>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III/9</w:t>
            </w:r>
          </w:p>
        </w:tc>
        <w:tc>
          <w:tcPr>
            <w:tcW w:w="5980" w:type="dxa"/>
            <w:tcBorders>
              <w:top w:val="single" w:sz="4" w:space="0" w:color="auto"/>
              <w:left w:val="single" w:sz="4" w:space="0" w:color="auto"/>
              <w:bottom w:val="single" w:sz="4" w:space="0" w:color="auto"/>
            </w:tcBorders>
            <w:shd w:val="clear" w:color="auto" w:fill="auto"/>
            <w:vAlign w:val="bottom"/>
            <w:hideMark/>
          </w:tcPr>
          <w:p w:rsidR="00A644B9" w:rsidRDefault="00A644B9">
            <w:r>
              <w:t>Mjestimična zamjena betonskih elemenata, kamenih granitnih kocki ili ravnih ploča postavljanjem novih identičnih postoječim u sloj pjeska deb. Sloja 2 cm, veličine zrna do 4 mm. Stavka uključuje dobavu, ugradnju i sav potreban rad.</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39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900" w:firstLine="2160"/>
            </w:pPr>
            <w:r>
              <w:t>a) betonski elementi</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39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900" w:firstLine="2160"/>
            </w:pPr>
            <w:r>
              <w:t>b) travne ploče</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20,00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3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900" w:firstLine="2160"/>
            </w:pPr>
            <w:r>
              <w:t>c) granitne kocke 10x10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kom</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500"/>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III/10</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Preslagivanje postoječeg opločenja od betonskih opločnika. Stavka uključuje vađenje opločnika, planiranje podloge i ponovno postavljanje starih opločnika.</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43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900" w:firstLine="2160"/>
            </w:pPr>
            <w:r>
              <w:t>a) vađenje i preslagivanje</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390"/>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ind w:firstLineChars="900" w:firstLine="2160"/>
            </w:pPr>
            <w:r>
              <w:t>b) pijesak do 4 mm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90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III/11</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kulir ploča veličine  40/40 cm. Ploče se ugrađuju na pripremljeni tampon u sloj za izravnavanje debljine od 3-5cm od oštrozrnog pijeska veličine zrna do 4 mm. Reške ispuniti cementnim mortom.</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49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center"/>
              <w:rPr>
                <w:rFonts w:ascii="Arial" w:hAnsi="Arial" w:cs="Arial"/>
                <w:b/>
                <w:bCs/>
                <w:sz w:val="20"/>
                <w:szCs w:val="20"/>
              </w:rPr>
            </w:pPr>
            <w:r>
              <w:rPr>
                <w:rFonts w:ascii="Arial" w:hAnsi="Arial" w:cs="Arial"/>
                <w:b/>
                <w:bCs/>
                <w:sz w:val="20"/>
                <w:szCs w:val="20"/>
              </w:rPr>
              <w:t>III - Betonski elementi uz asflatirane površine ukupno:</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center"/>
              <w:rPr>
                <w:rFonts w:ascii="Arial" w:hAnsi="Arial" w:cs="Arial"/>
                <w:b/>
                <w:bCs/>
                <w:sz w:val="20"/>
                <w:szCs w:val="20"/>
              </w:rPr>
            </w:pPr>
          </w:p>
        </w:tc>
      </w:tr>
      <w:tr w:rsidR="00A644B9" w:rsidTr="00961D09">
        <w:trPr>
          <w:trHeight w:val="60"/>
        </w:trPr>
        <w:tc>
          <w:tcPr>
            <w:tcW w:w="658" w:type="dxa"/>
            <w:tcBorders>
              <w:top w:val="single" w:sz="4" w:space="0" w:color="auto"/>
              <w:left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961D09">
        <w:trPr>
          <w:trHeight w:val="450"/>
        </w:trPr>
        <w:tc>
          <w:tcPr>
            <w:tcW w:w="658" w:type="dxa"/>
            <w:tcBorders>
              <w:left w:val="single" w:sz="4" w:space="0" w:color="auto"/>
            </w:tcBorders>
            <w:shd w:val="clear" w:color="auto" w:fill="auto"/>
            <w:noWrap/>
            <w:hideMark/>
          </w:tcPr>
          <w:p w:rsidR="00A644B9" w:rsidRDefault="00A644B9">
            <w:pPr>
              <w:rPr>
                <w:sz w:val="20"/>
                <w:szCs w:val="20"/>
              </w:rPr>
            </w:pPr>
          </w:p>
        </w:tc>
        <w:tc>
          <w:tcPr>
            <w:tcW w:w="5980" w:type="dxa"/>
            <w:shd w:val="clear" w:color="auto" w:fill="auto"/>
            <w:vAlign w:val="center"/>
            <w:hideMark/>
          </w:tcPr>
          <w:p w:rsidR="00A644B9" w:rsidRDefault="00A644B9">
            <w:pPr>
              <w:rPr>
                <w:sz w:val="20"/>
                <w:szCs w:val="20"/>
              </w:rPr>
            </w:pPr>
          </w:p>
        </w:tc>
        <w:tc>
          <w:tcPr>
            <w:tcW w:w="640" w:type="dxa"/>
            <w:tcBorders>
              <w:bottom w:val="single" w:sz="4" w:space="0" w:color="auto"/>
            </w:tcBorders>
            <w:shd w:val="clear" w:color="auto" w:fill="auto"/>
            <w:noWrap/>
            <w:vAlign w:val="bottom"/>
            <w:hideMark/>
          </w:tcPr>
          <w:p w:rsidR="00A644B9" w:rsidRDefault="00A644B9">
            <w:pPr>
              <w:rPr>
                <w:sz w:val="20"/>
                <w:szCs w:val="20"/>
              </w:rPr>
            </w:pPr>
          </w:p>
        </w:tc>
        <w:tc>
          <w:tcPr>
            <w:tcW w:w="1086" w:type="dxa"/>
            <w:tcBorders>
              <w:bottom w:val="single" w:sz="4" w:space="0" w:color="auto"/>
            </w:tcBorders>
            <w:shd w:val="clear" w:color="auto" w:fill="auto"/>
            <w:noWrap/>
            <w:vAlign w:val="bottom"/>
            <w:hideMark/>
          </w:tcPr>
          <w:p w:rsidR="00A644B9" w:rsidRDefault="00A644B9">
            <w:pPr>
              <w:rPr>
                <w:sz w:val="20"/>
                <w:szCs w:val="20"/>
              </w:rPr>
            </w:pPr>
          </w:p>
        </w:tc>
        <w:tc>
          <w:tcPr>
            <w:tcW w:w="930" w:type="dxa"/>
            <w:tcBorders>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510"/>
        </w:trPr>
        <w:tc>
          <w:tcPr>
            <w:tcW w:w="8364" w:type="dxa"/>
            <w:gridSpan w:val="4"/>
            <w:tcBorders>
              <w:top w:val="single" w:sz="4" w:space="0" w:color="auto"/>
              <w:left w:val="single" w:sz="4" w:space="0" w:color="auto"/>
              <w:bottom w:val="single" w:sz="4" w:space="0" w:color="auto"/>
            </w:tcBorders>
            <w:shd w:val="clear" w:color="auto" w:fill="auto"/>
            <w:noWrap/>
            <w:vAlign w:val="center"/>
            <w:hideMark/>
          </w:tcPr>
          <w:p w:rsidR="00090B03" w:rsidRDefault="00090B03">
            <w:pPr>
              <w:rPr>
                <w:rFonts w:ascii="Arial" w:hAnsi="Arial" w:cs="Arial"/>
                <w:b/>
                <w:bCs/>
                <w:sz w:val="20"/>
                <w:szCs w:val="20"/>
              </w:rPr>
            </w:pPr>
          </w:p>
          <w:p w:rsidR="00090B03" w:rsidRDefault="00090B03">
            <w:pPr>
              <w:rPr>
                <w:rFonts w:ascii="Arial" w:hAnsi="Arial" w:cs="Arial"/>
                <w:b/>
                <w:bCs/>
                <w:sz w:val="20"/>
                <w:szCs w:val="20"/>
              </w:rPr>
            </w:pPr>
          </w:p>
          <w:p w:rsidR="00090B03" w:rsidRDefault="00090B03">
            <w:pPr>
              <w:rPr>
                <w:rFonts w:ascii="Arial" w:hAnsi="Arial" w:cs="Arial"/>
                <w:b/>
                <w:bCs/>
                <w:sz w:val="20"/>
                <w:szCs w:val="20"/>
              </w:rPr>
            </w:pPr>
          </w:p>
          <w:p w:rsidR="00A644B9" w:rsidRDefault="00A644B9">
            <w:pPr>
              <w:rPr>
                <w:rFonts w:ascii="Arial" w:hAnsi="Arial" w:cs="Arial"/>
                <w:b/>
                <w:bCs/>
                <w:sz w:val="20"/>
                <w:szCs w:val="20"/>
              </w:rPr>
            </w:pPr>
            <w:r>
              <w:rPr>
                <w:rFonts w:ascii="Arial" w:hAnsi="Arial" w:cs="Arial"/>
                <w:b/>
                <w:bCs/>
                <w:sz w:val="20"/>
                <w:szCs w:val="20"/>
              </w:rPr>
              <w:t>IV - Betoni</w:t>
            </w: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rFonts w:ascii="Arial" w:hAnsi="Arial" w:cs="Arial"/>
                <w:b/>
                <w:bCs/>
                <w:sz w:val="20"/>
                <w:szCs w:val="20"/>
              </w:rPr>
            </w:pPr>
          </w:p>
        </w:tc>
      </w:tr>
      <w:tr w:rsidR="00A644B9" w:rsidTr="00090B03">
        <w:trPr>
          <w:trHeight w:val="450"/>
        </w:trPr>
        <w:tc>
          <w:tcPr>
            <w:tcW w:w="658" w:type="dxa"/>
            <w:tcBorders>
              <w:top w:val="single" w:sz="4" w:space="0" w:color="auto"/>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97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IV/1</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Razbijanje oštećenih betonskih ploča debljine do 15 cm, utovar razgrađenog materijala i odvoz na deponiju.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375"/>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207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IV/2</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Dobava i ugradnja betona C 16/20. Izvode se betonske ploče na pripremljenu podlogu kao prometne površine debljine do 20 cm ili kao učvršćenja betonom uređaja za odvodnju na prometnici. U stavku uračunati potrebnu oplatu i konstruktivnu armaturu.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315"/>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605"/>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IV/3</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 xml:space="preserve"> Dobava i ugradnja betona C 25/30. Izvode se betonske ploče na pripremljenu podlogu kao prometne površine, debljine 15 do 20 cm. U stavku uračunati potrebnu oplatu i konstruktivnu armaturu.</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3,00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345"/>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005"/>
        </w:trPr>
        <w:tc>
          <w:tcPr>
            <w:tcW w:w="658" w:type="dxa"/>
            <w:vMerge w:val="restart"/>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IV/4</w:t>
            </w:r>
          </w:p>
        </w:tc>
        <w:tc>
          <w:tcPr>
            <w:tcW w:w="5980" w:type="dxa"/>
            <w:tcBorders>
              <w:top w:val="single" w:sz="4" w:space="0" w:color="auto"/>
              <w:left w:val="single" w:sz="4" w:space="0" w:color="auto"/>
              <w:bottom w:val="single" w:sz="4" w:space="0" w:color="auto"/>
            </w:tcBorders>
            <w:shd w:val="clear" w:color="auto" w:fill="auto"/>
            <w:vAlign w:val="center"/>
            <w:hideMark/>
          </w:tcPr>
          <w:p w:rsidR="00A644B9" w:rsidRDefault="00A644B9">
            <w:r>
              <w:t>Dobava i ugradnja C 25/30 u stepenice. Stavka uključuje sav potreban rad - iskop, oplatu i armaturu.</w:t>
            </w:r>
          </w:p>
        </w:tc>
        <w:tc>
          <w:tcPr>
            <w:tcW w:w="640" w:type="dxa"/>
            <w:tcBorders>
              <w:top w:val="single" w:sz="4" w:space="0" w:color="auto"/>
              <w:bottom w:val="single" w:sz="4" w:space="0" w:color="auto"/>
            </w:tcBorders>
            <w:shd w:val="clear" w:color="auto" w:fill="auto"/>
            <w:noWrap/>
            <w:vAlign w:val="bottom"/>
            <w:hideMark/>
          </w:tcPr>
          <w:p w:rsidR="00A644B9" w:rsidRDefault="00A644B9"/>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285"/>
        </w:trPr>
        <w:tc>
          <w:tcPr>
            <w:tcW w:w="658" w:type="dxa"/>
            <w:vMerge/>
            <w:tcBorders>
              <w:left w:val="single" w:sz="4" w:space="0" w:color="auto"/>
              <w:right w:val="single" w:sz="4" w:space="0" w:color="auto"/>
            </w:tcBorders>
            <w:vAlign w:val="center"/>
            <w:hideMark/>
          </w:tcPr>
          <w:p w:rsidR="00A644B9" w:rsidRDefault="00A644B9">
            <w:pPr>
              <w:rPr>
                <w:rFonts w:ascii="Arial" w:hAnsi="Arial" w:cs="Arial"/>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m3</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5,00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1320"/>
        </w:trPr>
        <w:tc>
          <w:tcPr>
            <w:tcW w:w="658" w:type="dxa"/>
            <w:tcBorders>
              <w:top w:val="single" w:sz="4" w:space="0" w:color="auto"/>
              <w:left w:val="single" w:sz="4" w:space="0" w:color="auto"/>
              <w:right w:val="single" w:sz="4" w:space="0" w:color="auto"/>
            </w:tcBorders>
            <w:shd w:val="clear" w:color="auto" w:fill="auto"/>
            <w:noWrap/>
            <w:hideMark/>
          </w:tcPr>
          <w:p w:rsidR="00A644B9" w:rsidRDefault="00A644B9">
            <w:pPr>
              <w:rPr>
                <w:rFonts w:ascii="Arial" w:hAnsi="Arial" w:cs="Arial"/>
                <w:sz w:val="20"/>
                <w:szCs w:val="20"/>
              </w:rPr>
            </w:pPr>
            <w:r>
              <w:rPr>
                <w:rFonts w:ascii="Arial" w:hAnsi="Arial" w:cs="Arial"/>
                <w:sz w:val="20"/>
                <w:szCs w:val="20"/>
              </w:rPr>
              <w:t>IV/5</w:t>
            </w:r>
          </w:p>
        </w:tc>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4B9" w:rsidRDefault="00A644B9">
            <w:r>
              <w:t>Krpanje postojećih stepenica reparaturnim mortom u sloju debljine do 2 cm. Stavka uključuje otucavanje i čiščenje stare površine</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r>
              <w:t>m2</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r>
              <w:t>10,00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right"/>
            </w:pPr>
          </w:p>
        </w:tc>
      </w:tr>
      <w:tr w:rsidR="00A644B9" w:rsidTr="00090B03">
        <w:trPr>
          <w:trHeight w:val="450"/>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bottom w:val="single" w:sz="4" w:space="0" w:color="auto"/>
            </w:tcBorders>
            <w:shd w:val="clear" w:color="auto" w:fill="auto"/>
            <w:vAlign w:val="center"/>
            <w:hideMark/>
          </w:tcPr>
          <w:p w:rsidR="00A644B9" w:rsidRDefault="00A644B9">
            <w:pPr>
              <w:rPr>
                <w:sz w:val="20"/>
                <w:szCs w:val="20"/>
              </w:rPr>
            </w:pPr>
          </w:p>
        </w:tc>
        <w:tc>
          <w:tcPr>
            <w:tcW w:w="640"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1086" w:type="dxa"/>
            <w:tcBorders>
              <w:top w:val="single" w:sz="4" w:space="0" w:color="auto"/>
              <w:bottom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61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center"/>
              <w:rPr>
                <w:rFonts w:ascii="Arial" w:hAnsi="Arial" w:cs="Arial"/>
                <w:b/>
                <w:bCs/>
                <w:sz w:val="20"/>
                <w:szCs w:val="20"/>
              </w:rPr>
            </w:pPr>
            <w:r>
              <w:rPr>
                <w:rFonts w:ascii="Arial" w:hAnsi="Arial" w:cs="Arial"/>
                <w:b/>
                <w:bCs/>
                <w:sz w:val="20"/>
                <w:szCs w:val="20"/>
              </w:rPr>
              <w:t>IV - Betoni ukupno:</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center"/>
              <w:rPr>
                <w:rFonts w:ascii="Arial" w:hAnsi="Arial" w:cs="Arial"/>
                <w:b/>
                <w:bCs/>
                <w:sz w:val="20"/>
                <w:szCs w:val="20"/>
              </w:rPr>
            </w:pPr>
          </w:p>
        </w:tc>
      </w:tr>
      <w:tr w:rsidR="00A644B9" w:rsidTr="00090B03">
        <w:trPr>
          <w:trHeight w:val="435"/>
        </w:trPr>
        <w:tc>
          <w:tcPr>
            <w:tcW w:w="658" w:type="dxa"/>
            <w:tcBorders>
              <w:top w:val="single" w:sz="4" w:space="0" w:color="auto"/>
              <w:left w:val="single" w:sz="4" w:space="0" w:color="auto"/>
            </w:tcBorders>
            <w:shd w:val="clear" w:color="auto" w:fill="auto"/>
            <w:noWrap/>
            <w:vAlign w:val="center"/>
            <w:hideMark/>
          </w:tcPr>
          <w:p w:rsidR="00A644B9" w:rsidRDefault="00A644B9">
            <w:pPr>
              <w:rPr>
                <w:sz w:val="20"/>
                <w:szCs w:val="20"/>
              </w:rPr>
            </w:pPr>
          </w:p>
        </w:tc>
        <w:tc>
          <w:tcPr>
            <w:tcW w:w="5980" w:type="dxa"/>
            <w:tcBorders>
              <w:top w:val="single" w:sz="4" w:space="0" w:color="auto"/>
            </w:tcBorders>
            <w:shd w:val="clear" w:color="auto" w:fill="auto"/>
            <w:noWrap/>
            <w:vAlign w:val="center"/>
            <w:hideMark/>
          </w:tcPr>
          <w:p w:rsidR="00A644B9" w:rsidRDefault="00A644B9">
            <w:pPr>
              <w:jc w:val="center"/>
              <w:rPr>
                <w:sz w:val="20"/>
                <w:szCs w:val="20"/>
              </w:rPr>
            </w:pPr>
          </w:p>
        </w:tc>
        <w:tc>
          <w:tcPr>
            <w:tcW w:w="640" w:type="dxa"/>
            <w:tcBorders>
              <w:top w:val="single" w:sz="4" w:space="0" w:color="auto"/>
            </w:tcBorders>
            <w:shd w:val="clear" w:color="auto" w:fill="auto"/>
            <w:noWrap/>
            <w:vAlign w:val="center"/>
            <w:hideMark/>
          </w:tcPr>
          <w:p w:rsidR="00A644B9" w:rsidRDefault="00A644B9">
            <w:pPr>
              <w:jc w:val="center"/>
              <w:rPr>
                <w:sz w:val="20"/>
                <w:szCs w:val="20"/>
              </w:rPr>
            </w:pPr>
          </w:p>
        </w:tc>
        <w:tc>
          <w:tcPr>
            <w:tcW w:w="1086" w:type="dxa"/>
            <w:tcBorders>
              <w:top w:val="single" w:sz="4" w:space="0" w:color="auto"/>
            </w:tcBorders>
            <w:shd w:val="clear" w:color="auto" w:fill="auto"/>
            <w:noWrap/>
            <w:vAlign w:val="center"/>
            <w:hideMark/>
          </w:tcPr>
          <w:p w:rsidR="00A644B9" w:rsidRDefault="00A644B9">
            <w:pPr>
              <w:jc w:val="center"/>
              <w:rPr>
                <w:sz w:val="20"/>
                <w:szCs w:val="20"/>
              </w:rPr>
            </w:pPr>
          </w:p>
        </w:tc>
        <w:tc>
          <w:tcPr>
            <w:tcW w:w="930" w:type="dxa"/>
            <w:tcBorders>
              <w:top w:val="single" w:sz="4" w:space="0" w:color="auto"/>
              <w:right w:val="single" w:sz="4" w:space="0" w:color="auto"/>
            </w:tcBorders>
            <w:shd w:val="clear" w:color="auto" w:fill="auto"/>
            <w:noWrap/>
            <w:vAlign w:val="bottom"/>
            <w:hideMark/>
          </w:tcPr>
          <w:p w:rsidR="00A644B9" w:rsidRDefault="00A644B9">
            <w:pPr>
              <w:jc w:val="center"/>
              <w:rPr>
                <w:sz w:val="20"/>
                <w:szCs w:val="20"/>
              </w:rPr>
            </w:pPr>
          </w:p>
        </w:tc>
      </w:tr>
      <w:tr w:rsidR="00A644B9" w:rsidTr="00090B03">
        <w:trPr>
          <w:trHeight w:val="420"/>
        </w:trPr>
        <w:tc>
          <w:tcPr>
            <w:tcW w:w="658" w:type="dxa"/>
            <w:tcBorders>
              <w:left w:val="single" w:sz="4" w:space="0" w:color="auto"/>
            </w:tcBorders>
            <w:shd w:val="clear" w:color="auto" w:fill="auto"/>
            <w:noWrap/>
            <w:hideMark/>
          </w:tcPr>
          <w:p w:rsidR="00A644B9" w:rsidRDefault="00A644B9">
            <w:pPr>
              <w:rPr>
                <w:sz w:val="20"/>
                <w:szCs w:val="20"/>
              </w:rPr>
            </w:pPr>
          </w:p>
        </w:tc>
        <w:tc>
          <w:tcPr>
            <w:tcW w:w="5980" w:type="dxa"/>
            <w:shd w:val="clear" w:color="auto" w:fill="auto"/>
            <w:vAlign w:val="center"/>
            <w:hideMark/>
          </w:tcPr>
          <w:p w:rsidR="00A644B9" w:rsidRDefault="00A644B9">
            <w:pPr>
              <w:rPr>
                <w:sz w:val="20"/>
                <w:szCs w:val="20"/>
              </w:rPr>
            </w:pPr>
          </w:p>
        </w:tc>
        <w:tc>
          <w:tcPr>
            <w:tcW w:w="640" w:type="dxa"/>
            <w:shd w:val="clear" w:color="auto" w:fill="auto"/>
            <w:noWrap/>
            <w:vAlign w:val="bottom"/>
            <w:hideMark/>
          </w:tcPr>
          <w:p w:rsidR="00A644B9" w:rsidRDefault="00A644B9">
            <w:pPr>
              <w:rPr>
                <w:sz w:val="20"/>
                <w:szCs w:val="20"/>
              </w:rPr>
            </w:pPr>
          </w:p>
        </w:tc>
        <w:tc>
          <w:tcPr>
            <w:tcW w:w="1086" w:type="dxa"/>
            <w:shd w:val="clear" w:color="auto" w:fill="auto"/>
            <w:noWrap/>
            <w:vAlign w:val="bottom"/>
            <w:hideMark/>
          </w:tcPr>
          <w:p w:rsidR="00A644B9" w:rsidRDefault="00A644B9">
            <w:pPr>
              <w:rPr>
                <w:sz w:val="20"/>
                <w:szCs w:val="20"/>
              </w:rPr>
            </w:pPr>
          </w:p>
        </w:tc>
        <w:tc>
          <w:tcPr>
            <w:tcW w:w="930" w:type="dxa"/>
            <w:tcBorders>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495"/>
        </w:trPr>
        <w:tc>
          <w:tcPr>
            <w:tcW w:w="658" w:type="dxa"/>
            <w:tcBorders>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bottom w:val="single" w:sz="4" w:space="0" w:color="auto"/>
            </w:tcBorders>
            <w:shd w:val="clear" w:color="auto" w:fill="auto"/>
            <w:vAlign w:val="center"/>
            <w:hideMark/>
          </w:tcPr>
          <w:p w:rsidR="00A644B9" w:rsidRDefault="00A644B9">
            <w:pPr>
              <w:rPr>
                <w:sz w:val="20"/>
                <w:szCs w:val="20"/>
              </w:rPr>
            </w:pPr>
          </w:p>
        </w:tc>
        <w:tc>
          <w:tcPr>
            <w:tcW w:w="640" w:type="dxa"/>
            <w:tcBorders>
              <w:bottom w:val="single" w:sz="4" w:space="0" w:color="auto"/>
            </w:tcBorders>
            <w:shd w:val="clear" w:color="auto" w:fill="auto"/>
            <w:noWrap/>
            <w:vAlign w:val="bottom"/>
            <w:hideMark/>
          </w:tcPr>
          <w:p w:rsidR="00A644B9" w:rsidRDefault="00A644B9">
            <w:pPr>
              <w:rPr>
                <w:sz w:val="20"/>
                <w:szCs w:val="20"/>
              </w:rPr>
            </w:pPr>
          </w:p>
        </w:tc>
        <w:tc>
          <w:tcPr>
            <w:tcW w:w="1086" w:type="dxa"/>
            <w:tcBorders>
              <w:bottom w:val="single" w:sz="4" w:space="0" w:color="auto"/>
            </w:tcBorders>
            <w:shd w:val="clear" w:color="auto" w:fill="auto"/>
            <w:noWrap/>
            <w:vAlign w:val="bottom"/>
            <w:hideMark/>
          </w:tcPr>
          <w:p w:rsidR="00A644B9" w:rsidRDefault="00A644B9">
            <w:pPr>
              <w:rPr>
                <w:sz w:val="20"/>
                <w:szCs w:val="20"/>
              </w:rPr>
            </w:pPr>
          </w:p>
        </w:tc>
        <w:tc>
          <w:tcPr>
            <w:tcW w:w="930" w:type="dxa"/>
            <w:tcBorders>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43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center"/>
              <w:rPr>
                <w:rFonts w:ascii="Arial" w:hAnsi="Arial" w:cs="Arial"/>
                <w:b/>
                <w:bCs/>
                <w:sz w:val="20"/>
                <w:szCs w:val="20"/>
              </w:rPr>
            </w:pPr>
            <w:r>
              <w:rPr>
                <w:rFonts w:ascii="Arial" w:hAnsi="Arial" w:cs="Arial"/>
                <w:b/>
                <w:bCs/>
                <w:sz w:val="20"/>
                <w:szCs w:val="20"/>
              </w:rPr>
              <w:t xml:space="preserve">REKAPITULACIJA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center"/>
              <w:rPr>
                <w:rFonts w:ascii="Arial" w:hAnsi="Arial" w:cs="Arial"/>
                <w:b/>
                <w:bCs/>
                <w:sz w:val="20"/>
                <w:szCs w:val="20"/>
              </w:rPr>
            </w:pPr>
          </w:p>
        </w:tc>
      </w:tr>
      <w:tr w:rsidR="00A644B9" w:rsidTr="00083FD9">
        <w:trPr>
          <w:trHeight w:val="40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rPr>
                <w:rFonts w:ascii="Arial" w:hAnsi="Arial" w:cs="Arial"/>
                <w:b/>
                <w:bCs/>
                <w:sz w:val="20"/>
                <w:szCs w:val="20"/>
              </w:rPr>
            </w:pPr>
            <w:r>
              <w:rPr>
                <w:rFonts w:ascii="Arial" w:hAnsi="Arial" w:cs="Arial"/>
                <w:b/>
                <w:bCs/>
                <w:sz w:val="20"/>
                <w:szCs w:val="20"/>
              </w:rPr>
              <w:t>I - Obrada i krpanje udarnih rupa:</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rFonts w:ascii="Arial" w:hAnsi="Arial" w:cs="Arial"/>
                <w:b/>
                <w:bCs/>
                <w:sz w:val="20"/>
                <w:szCs w:val="20"/>
              </w:rPr>
            </w:pPr>
          </w:p>
        </w:tc>
      </w:tr>
      <w:tr w:rsidR="00A644B9" w:rsidTr="00083FD9">
        <w:trPr>
          <w:trHeight w:val="36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rPr>
                <w:rFonts w:ascii="Arial" w:hAnsi="Arial" w:cs="Arial"/>
                <w:b/>
                <w:bCs/>
                <w:sz w:val="20"/>
                <w:szCs w:val="20"/>
              </w:rPr>
            </w:pPr>
            <w:r>
              <w:rPr>
                <w:rFonts w:ascii="Arial" w:hAnsi="Arial" w:cs="Arial"/>
                <w:b/>
                <w:bCs/>
                <w:sz w:val="20"/>
                <w:szCs w:val="20"/>
              </w:rPr>
              <w:t>II - Uređaji za odvodnju:</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rFonts w:ascii="Arial" w:hAnsi="Arial" w:cs="Arial"/>
                <w:b/>
                <w:bCs/>
                <w:sz w:val="20"/>
                <w:szCs w:val="20"/>
              </w:rPr>
            </w:pPr>
          </w:p>
        </w:tc>
      </w:tr>
      <w:tr w:rsidR="00A644B9" w:rsidTr="00083FD9">
        <w:trPr>
          <w:trHeight w:val="42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rPr>
                <w:rFonts w:ascii="Arial" w:hAnsi="Arial" w:cs="Arial"/>
                <w:b/>
                <w:bCs/>
                <w:sz w:val="20"/>
                <w:szCs w:val="20"/>
              </w:rPr>
            </w:pPr>
            <w:r>
              <w:rPr>
                <w:rFonts w:ascii="Arial" w:hAnsi="Arial" w:cs="Arial"/>
                <w:b/>
                <w:bCs/>
                <w:sz w:val="20"/>
                <w:szCs w:val="20"/>
              </w:rPr>
              <w:t>III - Betonski elementi uz asfaltirane površine:</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rFonts w:ascii="Arial" w:hAnsi="Arial" w:cs="Arial"/>
                <w:b/>
                <w:bCs/>
                <w:sz w:val="20"/>
                <w:szCs w:val="20"/>
              </w:rPr>
            </w:pPr>
          </w:p>
        </w:tc>
      </w:tr>
      <w:tr w:rsidR="00A644B9" w:rsidTr="00090B03">
        <w:trPr>
          <w:trHeight w:val="37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rPr>
                <w:rFonts w:ascii="Arial" w:hAnsi="Arial" w:cs="Arial"/>
                <w:b/>
                <w:bCs/>
                <w:sz w:val="20"/>
                <w:szCs w:val="20"/>
              </w:rPr>
            </w:pPr>
            <w:r>
              <w:rPr>
                <w:rFonts w:ascii="Arial" w:hAnsi="Arial" w:cs="Arial"/>
                <w:b/>
                <w:bCs/>
                <w:sz w:val="20"/>
                <w:szCs w:val="20"/>
              </w:rPr>
              <w:t>IV - Betoni:</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rFonts w:ascii="Arial" w:hAnsi="Arial" w:cs="Arial"/>
                <w:b/>
                <w:bCs/>
                <w:sz w:val="20"/>
                <w:szCs w:val="20"/>
              </w:rPr>
            </w:pPr>
          </w:p>
        </w:tc>
      </w:tr>
      <w:tr w:rsidR="00A644B9" w:rsidTr="00090B03">
        <w:trPr>
          <w:trHeight w:val="375"/>
        </w:trPr>
        <w:tc>
          <w:tcPr>
            <w:tcW w:w="8364" w:type="dxa"/>
            <w:gridSpan w:val="4"/>
            <w:tcBorders>
              <w:top w:val="single" w:sz="4" w:space="0" w:color="auto"/>
              <w:left w:val="single" w:sz="4" w:space="0" w:color="auto"/>
              <w:bottom w:val="single" w:sz="4" w:space="0" w:color="auto"/>
            </w:tcBorders>
            <w:shd w:val="clear" w:color="auto" w:fill="auto"/>
            <w:noWrap/>
            <w:vAlign w:val="center"/>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90B03">
        <w:trPr>
          <w:trHeight w:val="375"/>
        </w:trPr>
        <w:tc>
          <w:tcPr>
            <w:tcW w:w="8364" w:type="dxa"/>
            <w:gridSpan w:val="4"/>
            <w:tcBorders>
              <w:top w:val="single" w:sz="4" w:space="0" w:color="auto"/>
              <w:left w:val="single" w:sz="4" w:space="0" w:color="auto"/>
              <w:bottom w:val="single" w:sz="4" w:space="0" w:color="auto"/>
            </w:tcBorders>
            <w:shd w:val="clear" w:color="auto" w:fill="auto"/>
            <w:noWrap/>
            <w:vAlign w:val="center"/>
            <w:hideMark/>
          </w:tcPr>
          <w:p w:rsidR="00A644B9" w:rsidRDefault="00A644B9">
            <w:pPr>
              <w:rPr>
                <w:sz w:val="20"/>
                <w:szCs w:val="20"/>
              </w:rPr>
            </w:pPr>
          </w:p>
        </w:tc>
        <w:tc>
          <w:tcPr>
            <w:tcW w:w="930"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r w:rsidR="00A644B9" w:rsidTr="00083FD9">
        <w:trPr>
          <w:trHeight w:val="48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center"/>
              <w:rPr>
                <w:rFonts w:ascii="Arial" w:hAnsi="Arial" w:cs="Arial"/>
                <w:b/>
                <w:bCs/>
                <w:sz w:val="20"/>
                <w:szCs w:val="20"/>
              </w:rPr>
            </w:pPr>
            <w:r>
              <w:rPr>
                <w:rFonts w:ascii="Arial" w:hAnsi="Arial" w:cs="Arial"/>
                <w:b/>
                <w:bCs/>
                <w:sz w:val="20"/>
                <w:szCs w:val="20"/>
              </w:rPr>
              <w:t xml:space="preserve">                                           UKUPNO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center"/>
              <w:rPr>
                <w:rFonts w:ascii="Arial" w:hAnsi="Arial" w:cs="Arial"/>
                <w:b/>
                <w:bCs/>
                <w:sz w:val="20"/>
                <w:szCs w:val="20"/>
              </w:rPr>
            </w:pPr>
          </w:p>
        </w:tc>
      </w:tr>
      <w:tr w:rsidR="00A644B9" w:rsidTr="00083FD9">
        <w:trPr>
          <w:trHeight w:val="61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4B9" w:rsidRDefault="00A644B9">
            <w:pPr>
              <w:jc w:val="center"/>
              <w:rPr>
                <w:rFonts w:ascii="Arial" w:hAnsi="Arial" w:cs="Arial"/>
                <w:b/>
                <w:bCs/>
                <w:sz w:val="20"/>
                <w:szCs w:val="20"/>
              </w:rPr>
            </w:pPr>
            <w:r>
              <w:rPr>
                <w:rFonts w:ascii="Arial" w:hAnsi="Arial" w:cs="Arial"/>
                <w:b/>
                <w:bCs/>
                <w:sz w:val="20"/>
                <w:szCs w:val="20"/>
              </w:rPr>
              <w:t xml:space="preserve">                                                 PDV</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jc w:val="center"/>
              <w:rPr>
                <w:rFonts w:ascii="Arial" w:hAnsi="Arial" w:cs="Arial"/>
                <w:b/>
                <w:bCs/>
                <w:sz w:val="20"/>
                <w:szCs w:val="20"/>
              </w:rPr>
            </w:pPr>
          </w:p>
        </w:tc>
      </w:tr>
      <w:tr w:rsidR="00A644B9" w:rsidTr="00090B03">
        <w:trPr>
          <w:trHeight w:val="510"/>
        </w:trPr>
        <w:tc>
          <w:tcPr>
            <w:tcW w:w="658" w:type="dxa"/>
            <w:tcBorders>
              <w:top w:val="single" w:sz="4" w:space="0" w:color="auto"/>
              <w:left w:val="single" w:sz="4" w:space="0" w:color="auto"/>
              <w:bottom w:val="single" w:sz="4" w:space="0" w:color="auto"/>
            </w:tcBorders>
            <w:shd w:val="clear" w:color="auto" w:fill="auto"/>
            <w:noWrap/>
            <w:hideMark/>
          </w:tcPr>
          <w:p w:rsidR="00A644B9" w:rsidRDefault="00A644B9">
            <w:pPr>
              <w:rPr>
                <w:sz w:val="20"/>
                <w:szCs w:val="20"/>
              </w:rPr>
            </w:pPr>
          </w:p>
        </w:tc>
        <w:tc>
          <w:tcPr>
            <w:tcW w:w="5980" w:type="dxa"/>
            <w:tcBorders>
              <w:top w:val="single" w:sz="4" w:space="0" w:color="auto"/>
              <w:left w:val="nil"/>
              <w:bottom w:val="single" w:sz="4" w:space="0" w:color="auto"/>
            </w:tcBorders>
            <w:shd w:val="clear" w:color="auto" w:fill="auto"/>
            <w:vAlign w:val="center"/>
            <w:hideMark/>
          </w:tcPr>
          <w:p w:rsidR="00A644B9" w:rsidRDefault="00A644B9">
            <w:pPr>
              <w:jc w:val="right"/>
              <w:rPr>
                <w:b/>
                <w:bCs/>
              </w:rPr>
            </w:pPr>
            <w:r>
              <w:rPr>
                <w:b/>
                <w:bCs/>
              </w:rPr>
              <w:t>SVEUKUPNO</w:t>
            </w:r>
          </w:p>
        </w:tc>
        <w:tc>
          <w:tcPr>
            <w:tcW w:w="640" w:type="dxa"/>
            <w:tcBorders>
              <w:top w:val="single" w:sz="4" w:space="0" w:color="auto"/>
              <w:bottom w:val="single" w:sz="4" w:space="0" w:color="auto"/>
            </w:tcBorders>
            <w:shd w:val="clear" w:color="auto" w:fill="auto"/>
            <w:noWrap/>
            <w:vAlign w:val="bottom"/>
            <w:hideMark/>
          </w:tcPr>
          <w:p w:rsidR="00A644B9" w:rsidRDefault="00A644B9">
            <w:pPr>
              <w:jc w:val="right"/>
              <w:rPr>
                <w:b/>
                <w:bCs/>
              </w:rPr>
            </w:pPr>
          </w:p>
        </w:tc>
        <w:tc>
          <w:tcPr>
            <w:tcW w:w="1086" w:type="dxa"/>
            <w:tcBorders>
              <w:top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4B9" w:rsidRDefault="00A644B9">
            <w:pPr>
              <w:rPr>
                <w:sz w:val="20"/>
                <w:szCs w:val="20"/>
              </w:rPr>
            </w:pPr>
          </w:p>
        </w:tc>
      </w:tr>
    </w:tbl>
    <w:p w:rsidR="00A644B9" w:rsidRPr="007B1B9B" w:rsidRDefault="00A644B9" w:rsidP="00A10D05">
      <w:pPr>
        <w:rPr>
          <w:bCs/>
        </w:rPr>
      </w:pPr>
    </w:p>
    <w:sectPr w:rsidR="00A644B9" w:rsidRPr="007B1B9B" w:rsidSect="007B3700">
      <w:footerReference w:type="even" r:id="rId7"/>
      <w:footerReference w:type="default" r:id="rId8"/>
      <w:pgSz w:w="11906" w:h="16838"/>
      <w:pgMar w:top="360"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82" w:rsidRDefault="00F17782">
      <w:r>
        <w:separator/>
      </w:r>
    </w:p>
  </w:endnote>
  <w:endnote w:type="continuationSeparator" w:id="0">
    <w:p w:rsidR="00F17782" w:rsidRDefault="00F1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3D" w:rsidRDefault="0020096F" w:rsidP="001457CC">
    <w:pPr>
      <w:pStyle w:val="Podnoje"/>
      <w:framePr w:wrap="around" w:vAnchor="text" w:hAnchor="margin" w:xAlign="right" w:y="1"/>
      <w:rPr>
        <w:rStyle w:val="Brojstranice"/>
      </w:rPr>
    </w:pPr>
    <w:r>
      <w:rPr>
        <w:rStyle w:val="Brojstranice"/>
      </w:rPr>
      <w:fldChar w:fldCharType="begin"/>
    </w:r>
    <w:r w:rsidR="00DA613D">
      <w:rPr>
        <w:rStyle w:val="Brojstranice"/>
      </w:rPr>
      <w:instrText xml:space="preserve">PAGE  </w:instrText>
    </w:r>
    <w:r>
      <w:rPr>
        <w:rStyle w:val="Brojstranice"/>
      </w:rPr>
      <w:fldChar w:fldCharType="end"/>
    </w:r>
  </w:p>
  <w:p w:rsidR="00DA613D" w:rsidRDefault="00DA613D" w:rsidP="007B370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3D" w:rsidRDefault="0020096F" w:rsidP="001457CC">
    <w:pPr>
      <w:pStyle w:val="Podnoje"/>
      <w:framePr w:wrap="around" w:vAnchor="text" w:hAnchor="margin" w:xAlign="right" w:y="1"/>
      <w:rPr>
        <w:rStyle w:val="Brojstranice"/>
      </w:rPr>
    </w:pPr>
    <w:r>
      <w:rPr>
        <w:rStyle w:val="Brojstranice"/>
      </w:rPr>
      <w:fldChar w:fldCharType="begin"/>
    </w:r>
    <w:r w:rsidR="00DA613D">
      <w:rPr>
        <w:rStyle w:val="Brojstranice"/>
      </w:rPr>
      <w:instrText xml:space="preserve">PAGE  </w:instrText>
    </w:r>
    <w:r>
      <w:rPr>
        <w:rStyle w:val="Brojstranice"/>
      </w:rPr>
      <w:fldChar w:fldCharType="separate"/>
    </w:r>
    <w:r w:rsidR="00BB77A4">
      <w:rPr>
        <w:rStyle w:val="Brojstranice"/>
        <w:noProof/>
      </w:rPr>
      <w:t>3</w:t>
    </w:r>
    <w:r>
      <w:rPr>
        <w:rStyle w:val="Brojstranice"/>
      </w:rPr>
      <w:fldChar w:fldCharType="end"/>
    </w:r>
  </w:p>
  <w:p w:rsidR="00DA613D" w:rsidRDefault="00DA613D" w:rsidP="007B370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82" w:rsidRDefault="00F17782">
      <w:r>
        <w:separator/>
      </w:r>
    </w:p>
  </w:footnote>
  <w:footnote w:type="continuationSeparator" w:id="0">
    <w:p w:rsidR="00F17782" w:rsidRDefault="00F17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0E1"/>
    <w:multiLevelType w:val="hybridMultilevel"/>
    <w:tmpl w:val="ACB63D6A"/>
    <w:lvl w:ilvl="0" w:tplc="649E6FCA">
      <w:start w:val="1"/>
      <w:numFmt w:val="decimal"/>
      <w:lvlText w:val="%1."/>
      <w:lvlJc w:val="left"/>
      <w:pPr>
        <w:tabs>
          <w:tab w:val="num" w:pos="1140"/>
        </w:tabs>
        <w:ind w:left="114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1" w15:restartNumberingAfterBreak="0">
    <w:nsid w:val="0C5546A9"/>
    <w:multiLevelType w:val="hybridMultilevel"/>
    <w:tmpl w:val="95E268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56D4F"/>
    <w:multiLevelType w:val="hybridMultilevel"/>
    <w:tmpl w:val="D57A47B6"/>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25F10BE"/>
    <w:multiLevelType w:val="hybridMultilevel"/>
    <w:tmpl w:val="380C80D8"/>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D211D5"/>
    <w:multiLevelType w:val="hybridMultilevel"/>
    <w:tmpl w:val="B2B412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E0352"/>
    <w:multiLevelType w:val="hybridMultilevel"/>
    <w:tmpl w:val="18F48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531392"/>
    <w:multiLevelType w:val="hybridMultilevel"/>
    <w:tmpl w:val="FE324F26"/>
    <w:lvl w:ilvl="0" w:tplc="649E6FCA">
      <w:start w:val="1"/>
      <w:numFmt w:val="decimal"/>
      <w:lvlText w:val="%1."/>
      <w:lvlJc w:val="left"/>
      <w:pPr>
        <w:tabs>
          <w:tab w:val="num" w:pos="1140"/>
        </w:tabs>
        <w:ind w:left="114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7" w15:restartNumberingAfterBreak="0">
    <w:nsid w:val="58224ECA"/>
    <w:multiLevelType w:val="hybridMultilevel"/>
    <w:tmpl w:val="FF785FCE"/>
    <w:lvl w:ilvl="0" w:tplc="615ECEBA">
      <w:start w:val="1"/>
      <w:numFmt w:val="decimal"/>
      <w:lvlText w:val="%1."/>
      <w:lvlJc w:val="left"/>
      <w:pPr>
        <w:tabs>
          <w:tab w:val="num" w:pos="900"/>
        </w:tabs>
        <w:ind w:left="900" w:hanging="360"/>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7B38B3BE">
      <w:start w:val="89"/>
      <w:numFmt w:val="bullet"/>
      <w:lvlText w:val="-"/>
      <w:lvlJc w:val="left"/>
      <w:pPr>
        <w:tabs>
          <w:tab w:val="num" w:pos="2340"/>
        </w:tabs>
        <w:ind w:left="2340" w:hanging="360"/>
      </w:pPr>
      <w:rPr>
        <w:rFonts w:ascii="Times New Roman" w:eastAsia="Times New Roman" w:hAnsi="Times New Roman" w:cs="Times New Roman" w:hint="default"/>
        <w:b w:val="0"/>
      </w:rPr>
    </w:lvl>
    <w:lvl w:ilvl="3" w:tplc="041A0001">
      <w:start w:val="1"/>
      <w:numFmt w:val="bullet"/>
      <w:lvlText w:val=""/>
      <w:lvlJc w:val="left"/>
      <w:pPr>
        <w:tabs>
          <w:tab w:val="num" w:pos="2880"/>
        </w:tabs>
        <w:ind w:left="2880" w:hanging="360"/>
      </w:pPr>
      <w:rPr>
        <w:rFonts w:ascii="Symbol" w:hAnsi="Symbol"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69774633"/>
    <w:multiLevelType w:val="hybridMultilevel"/>
    <w:tmpl w:val="35CE9E1A"/>
    <w:lvl w:ilvl="0" w:tplc="041A000F">
      <w:start w:val="1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6A575163"/>
    <w:multiLevelType w:val="hybridMultilevel"/>
    <w:tmpl w:val="8DBE3E1A"/>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6B317EBC"/>
    <w:multiLevelType w:val="hybridMultilevel"/>
    <w:tmpl w:val="AA56371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CB937F9"/>
    <w:multiLevelType w:val="hybridMultilevel"/>
    <w:tmpl w:val="0B6688F2"/>
    <w:lvl w:ilvl="0" w:tplc="041A0001">
      <w:start w:val="1"/>
      <w:numFmt w:val="bullet"/>
      <w:lvlText w:val=""/>
      <w:lvlJc w:val="left"/>
      <w:pPr>
        <w:tabs>
          <w:tab w:val="num" w:pos="1440"/>
        </w:tabs>
        <w:ind w:left="144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11"/>
  </w:num>
  <w:num w:numId="6">
    <w:abstractNumId w:val="1"/>
  </w:num>
  <w:num w:numId="7">
    <w:abstractNumId w:val="2"/>
  </w:num>
  <w:num w:numId="8">
    <w:abstractNumId w:val="4"/>
  </w:num>
  <w:num w:numId="9">
    <w:abstractNumId w:val="0"/>
  </w:num>
  <w:num w:numId="10">
    <w:abstractNumId w:val="6"/>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29E9"/>
    <w:rsid w:val="00002526"/>
    <w:rsid w:val="000142B0"/>
    <w:rsid w:val="00015034"/>
    <w:rsid w:val="00026674"/>
    <w:rsid w:val="000375C4"/>
    <w:rsid w:val="00050134"/>
    <w:rsid w:val="00060478"/>
    <w:rsid w:val="00073DEE"/>
    <w:rsid w:val="000776B3"/>
    <w:rsid w:val="00083FD9"/>
    <w:rsid w:val="00090B03"/>
    <w:rsid w:val="00097786"/>
    <w:rsid w:val="000A407D"/>
    <w:rsid w:val="000A455A"/>
    <w:rsid w:val="000B67F5"/>
    <w:rsid w:val="000C344C"/>
    <w:rsid w:val="00104EAB"/>
    <w:rsid w:val="00105D15"/>
    <w:rsid w:val="0011385B"/>
    <w:rsid w:val="00123C56"/>
    <w:rsid w:val="00125EF1"/>
    <w:rsid w:val="001457CC"/>
    <w:rsid w:val="00146095"/>
    <w:rsid w:val="00146DB4"/>
    <w:rsid w:val="00150B2A"/>
    <w:rsid w:val="00151809"/>
    <w:rsid w:val="00154931"/>
    <w:rsid w:val="00155B7C"/>
    <w:rsid w:val="001703E3"/>
    <w:rsid w:val="00186C57"/>
    <w:rsid w:val="001A300E"/>
    <w:rsid w:val="001B3F2A"/>
    <w:rsid w:val="001B788E"/>
    <w:rsid w:val="001C1876"/>
    <w:rsid w:val="001D2EF8"/>
    <w:rsid w:val="0020096F"/>
    <w:rsid w:val="00226E00"/>
    <w:rsid w:val="0024559B"/>
    <w:rsid w:val="00251220"/>
    <w:rsid w:val="00253971"/>
    <w:rsid w:val="00266C33"/>
    <w:rsid w:val="00277C7E"/>
    <w:rsid w:val="00280EBF"/>
    <w:rsid w:val="00286F90"/>
    <w:rsid w:val="00290583"/>
    <w:rsid w:val="00297439"/>
    <w:rsid w:val="002A6DDA"/>
    <w:rsid w:val="002B0B7F"/>
    <w:rsid w:val="002C05C5"/>
    <w:rsid w:val="002E6163"/>
    <w:rsid w:val="00301441"/>
    <w:rsid w:val="0031595D"/>
    <w:rsid w:val="00316B51"/>
    <w:rsid w:val="003317EE"/>
    <w:rsid w:val="00370717"/>
    <w:rsid w:val="00381A5A"/>
    <w:rsid w:val="003924D5"/>
    <w:rsid w:val="00393D65"/>
    <w:rsid w:val="003A1637"/>
    <w:rsid w:val="003A5F31"/>
    <w:rsid w:val="003C0BD5"/>
    <w:rsid w:val="003F1637"/>
    <w:rsid w:val="003F433B"/>
    <w:rsid w:val="00411B33"/>
    <w:rsid w:val="00426BB6"/>
    <w:rsid w:val="00436C6A"/>
    <w:rsid w:val="00436FC2"/>
    <w:rsid w:val="00492E4E"/>
    <w:rsid w:val="004E0F5D"/>
    <w:rsid w:val="004F17F8"/>
    <w:rsid w:val="004F376E"/>
    <w:rsid w:val="004F6C18"/>
    <w:rsid w:val="00503256"/>
    <w:rsid w:val="00520B46"/>
    <w:rsid w:val="00554E8B"/>
    <w:rsid w:val="00581678"/>
    <w:rsid w:val="00592B09"/>
    <w:rsid w:val="005936CC"/>
    <w:rsid w:val="00596DE4"/>
    <w:rsid w:val="005D149F"/>
    <w:rsid w:val="005E0721"/>
    <w:rsid w:val="005F29E9"/>
    <w:rsid w:val="00600A3F"/>
    <w:rsid w:val="006118C9"/>
    <w:rsid w:val="00611DAA"/>
    <w:rsid w:val="00627D7E"/>
    <w:rsid w:val="00653F32"/>
    <w:rsid w:val="006574AD"/>
    <w:rsid w:val="00663615"/>
    <w:rsid w:val="0066407F"/>
    <w:rsid w:val="006642D0"/>
    <w:rsid w:val="00681FA4"/>
    <w:rsid w:val="006B473A"/>
    <w:rsid w:val="006C01E1"/>
    <w:rsid w:val="006C6248"/>
    <w:rsid w:val="006D230C"/>
    <w:rsid w:val="006E1E3C"/>
    <w:rsid w:val="006E22E1"/>
    <w:rsid w:val="006E618C"/>
    <w:rsid w:val="006E627A"/>
    <w:rsid w:val="006E6367"/>
    <w:rsid w:val="006F0C6D"/>
    <w:rsid w:val="006F6E56"/>
    <w:rsid w:val="007235B9"/>
    <w:rsid w:val="00725D1D"/>
    <w:rsid w:val="00726267"/>
    <w:rsid w:val="00743572"/>
    <w:rsid w:val="00763B3C"/>
    <w:rsid w:val="00764E63"/>
    <w:rsid w:val="00767E4D"/>
    <w:rsid w:val="0078344F"/>
    <w:rsid w:val="007A1655"/>
    <w:rsid w:val="007B1B9B"/>
    <w:rsid w:val="007B3700"/>
    <w:rsid w:val="007B4F3F"/>
    <w:rsid w:val="007C1570"/>
    <w:rsid w:val="007C71E8"/>
    <w:rsid w:val="007C78DD"/>
    <w:rsid w:val="007C7E34"/>
    <w:rsid w:val="007E2733"/>
    <w:rsid w:val="007E4FA5"/>
    <w:rsid w:val="007E5345"/>
    <w:rsid w:val="00820846"/>
    <w:rsid w:val="008306BD"/>
    <w:rsid w:val="00834314"/>
    <w:rsid w:val="00837EEC"/>
    <w:rsid w:val="008506F5"/>
    <w:rsid w:val="00855840"/>
    <w:rsid w:val="00857FCF"/>
    <w:rsid w:val="00863491"/>
    <w:rsid w:val="0086353E"/>
    <w:rsid w:val="008A767E"/>
    <w:rsid w:val="008B2870"/>
    <w:rsid w:val="008E1EB1"/>
    <w:rsid w:val="008E218A"/>
    <w:rsid w:val="00921344"/>
    <w:rsid w:val="009258B8"/>
    <w:rsid w:val="00940659"/>
    <w:rsid w:val="00942B48"/>
    <w:rsid w:val="00952E10"/>
    <w:rsid w:val="00961D09"/>
    <w:rsid w:val="00977435"/>
    <w:rsid w:val="009A17AE"/>
    <w:rsid w:val="009D09B1"/>
    <w:rsid w:val="009D5C04"/>
    <w:rsid w:val="009F2A7E"/>
    <w:rsid w:val="00A0644F"/>
    <w:rsid w:val="00A10D05"/>
    <w:rsid w:val="00A225D1"/>
    <w:rsid w:val="00A47C09"/>
    <w:rsid w:val="00A644B9"/>
    <w:rsid w:val="00A84B7B"/>
    <w:rsid w:val="00A92CFC"/>
    <w:rsid w:val="00AA4E5E"/>
    <w:rsid w:val="00AB0319"/>
    <w:rsid w:val="00AC6C24"/>
    <w:rsid w:val="00AE11ED"/>
    <w:rsid w:val="00B20F06"/>
    <w:rsid w:val="00B63718"/>
    <w:rsid w:val="00B65080"/>
    <w:rsid w:val="00B804A8"/>
    <w:rsid w:val="00B96EA1"/>
    <w:rsid w:val="00BA1CAB"/>
    <w:rsid w:val="00BB73FC"/>
    <w:rsid w:val="00BB77A4"/>
    <w:rsid w:val="00BC182E"/>
    <w:rsid w:val="00BD375D"/>
    <w:rsid w:val="00BD4774"/>
    <w:rsid w:val="00BE4AFE"/>
    <w:rsid w:val="00C13B2D"/>
    <w:rsid w:val="00C14784"/>
    <w:rsid w:val="00C175F7"/>
    <w:rsid w:val="00C3137D"/>
    <w:rsid w:val="00C32516"/>
    <w:rsid w:val="00C75228"/>
    <w:rsid w:val="00CA67FF"/>
    <w:rsid w:val="00CA781B"/>
    <w:rsid w:val="00CB79C2"/>
    <w:rsid w:val="00CC2F87"/>
    <w:rsid w:val="00CC33BD"/>
    <w:rsid w:val="00CC51E6"/>
    <w:rsid w:val="00CE392E"/>
    <w:rsid w:val="00CE5AF0"/>
    <w:rsid w:val="00CF0886"/>
    <w:rsid w:val="00D06624"/>
    <w:rsid w:val="00D15842"/>
    <w:rsid w:val="00D26F93"/>
    <w:rsid w:val="00D332E7"/>
    <w:rsid w:val="00D37C93"/>
    <w:rsid w:val="00D60532"/>
    <w:rsid w:val="00D72F42"/>
    <w:rsid w:val="00D74CDC"/>
    <w:rsid w:val="00D75152"/>
    <w:rsid w:val="00D80910"/>
    <w:rsid w:val="00D8519D"/>
    <w:rsid w:val="00DA1EF3"/>
    <w:rsid w:val="00DA613D"/>
    <w:rsid w:val="00DA6236"/>
    <w:rsid w:val="00DB4AB8"/>
    <w:rsid w:val="00DB626C"/>
    <w:rsid w:val="00DC73E0"/>
    <w:rsid w:val="00DD44EA"/>
    <w:rsid w:val="00DE5C28"/>
    <w:rsid w:val="00DF73C0"/>
    <w:rsid w:val="00E063A7"/>
    <w:rsid w:val="00E12AA8"/>
    <w:rsid w:val="00E2093E"/>
    <w:rsid w:val="00E26AA4"/>
    <w:rsid w:val="00E45CFB"/>
    <w:rsid w:val="00E91D03"/>
    <w:rsid w:val="00E96B96"/>
    <w:rsid w:val="00EA7D05"/>
    <w:rsid w:val="00EB1E5C"/>
    <w:rsid w:val="00EB4C7B"/>
    <w:rsid w:val="00EC3CD1"/>
    <w:rsid w:val="00EC602A"/>
    <w:rsid w:val="00F0068B"/>
    <w:rsid w:val="00F02A6E"/>
    <w:rsid w:val="00F06725"/>
    <w:rsid w:val="00F119CC"/>
    <w:rsid w:val="00F17782"/>
    <w:rsid w:val="00F36B6A"/>
    <w:rsid w:val="00F40D4D"/>
    <w:rsid w:val="00F40FC3"/>
    <w:rsid w:val="00F42DE2"/>
    <w:rsid w:val="00F64938"/>
    <w:rsid w:val="00F7444C"/>
    <w:rsid w:val="00F92066"/>
    <w:rsid w:val="00F95C70"/>
    <w:rsid w:val="00F97B47"/>
    <w:rsid w:val="00FC2F3F"/>
    <w:rsid w:val="00FC706A"/>
    <w:rsid w:val="00FE5847"/>
    <w:rsid w:val="00FF58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7C50B-7EC4-43B0-BD89-04A33969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9B"/>
    <w:rPr>
      <w:sz w:val="24"/>
      <w:szCs w:val="24"/>
    </w:rPr>
  </w:style>
  <w:style w:type="paragraph" w:styleId="Naslov1">
    <w:name w:val="heading 1"/>
    <w:basedOn w:val="Normal"/>
    <w:next w:val="Normal"/>
    <w:qFormat/>
    <w:rsid w:val="0020096F"/>
    <w:pPr>
      <w:keepNext/>
      <w:jc w:val="both"/>
      <w:outlineLvl w:val="0"/>
    </w:pPr>
    <w:rPr>
      <w:b/>
      <w:bCs/>
      <w:sz w:val="22"/>
    </w:rPr>
  </w:style>
  <w:style w:type="paragraph" w:styleId="Naslov3">
    <w:name w:val="heading 3"/>
    <w:basedOn w:val="Normal"/>
    <w:next w:val="Normal"/>
    <w:qFormat/>
    <w:rsid w:val="0020096F"/>
    <w:pPr>
      <w:keepNext/>
      <w:outlineLvl w:val="2"/>
    </w:pPr>
    <w:rPr>
      <w:rFonts w:eastAsia="Arial Unicode MS"/>
      <w:i/>
      <w:iCs/>
      <w:sz w:val="32"/>
    </w:rPr>
  </w:style>
  <w:style w:type="paragraph" w:styleId="Naslov6">
    <w:name w:val="heading 6"/>
    <w:basedOn w:val="Normal"/>
    <w:next w:val="Normal"/>
    <w:qFormat/>
    <w:rsid w:val="0020096F"/>
    <w:pPr>
      <w:keepNext/>
      <w:ind w:left="708"/>
      <w:outlineLvl w:val="5"/>
    </w:pPr>
    <w:rPr>
      <w:rFonts w:eastAsia="Arial Unicode MS"/>
      <w:sz w:val="32"/>
    </w:rPr>
  </w:style>
  <w:style w:type="paragraph" w:styleId="Naslov7">
    <w:name w:val="heading 7"/>
    <w:basedOn w:val="Normal"/>
    <w:next w:val="Normal"/>
    <w:qFormat/>
    <w:rsid w:val="0020096F"/>
    <w:pPr>
      <w:keepNext/>
      <w:ind w:left="708"/>
      <w:outlineLvl w:val="6"/>
    </w:pPr>
    <w:rPr>
      <w:b/>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20096F"/>
    <w:pPr>
      <w:jc w:val="center"/>
    </w:pPr>
    <w:rPr>
      <w:b/>
      <w:bCs/>
      <w:sz w:val="36"/>
      <w:szCs w:val="36"/>
    </w:rPr>
  </w:style>
  <w:style w:type="paragraph" w:styleId="Tijeloteksta">
    <w:name w:val="Body Text"/>
    <w:basedOn w:val="Normal"/>
    <w:rsid w:val="0020096F"/>
    <w:rPr>
      <w:b/>
      <w:bCs/>
    </w:rPr>
  </w:style>
  <w:style w:type="paragraph" w:styleId="Tijeloteksta3">
    <w:name w:val="Body Text 3"/>
    <w:basedOn w:val="Normal"/>
    <w:rsid w:val="0020096F"/>
    <w:pPr>
      <w:jc w:val="both"/>
    </w:pPr>
    <w:rPr>
      <w:b/>
      <w:bCs/>
      <w:sz w:val="22"/>
    </w:rPr>
  </w:style>
  <w:style w:type="paragraph" w:styleId="Tijeloteksta2">
    <w:name w:val="Body Text 2"/>
    <w:basedOn w:val="Normal"/>
    <w:rsid w:val="0020096F"/>
    <w:pPr>
      <w:jc w:val="both"/>
    </w:pPr>
    <w:rPr>
      <w:b/>
      <w:bCs/>
    </w:rPr>
  </w:style>
  <w:style w:type="paragraph" w:styleId="Zaglavlje">
    <w:name w:val="header"/>
    <w:basedOn w:val="Normal"/>
    <w:rsid w:val="0020096F"/>
    <w:pPr>
      <w:tabs>
        <w:tab w:val="center" w:pos="4536"/>
        <w:tab w:val="right" w:pos="9072"/>
      </w:tabs>
    </w:pPr>
  </w:style>
  <w:style w:type="character" w:styleId="Hiperveza">
    <w:name w:val="Hyperlink"/>
    <w:rsid w:val="0020096F"/>
    <w:rPr>
      <w:color w:val="0000FF"/>
      <w:u w:val="single"/>
    </w:rPr>
  </w:style>
  <w:style w:type="paragraph" w:styleId="Uvuenotijeloteksta">
    <w:name w:val="Body Text Indent"/>
    <w:basedOn w:val="Normal"/>
    <w:rsid w:val="0020096F"/>
    <w:pPr>
      <w:ind w:left="1020"/>
    </w:pPr>
    <w:rPr>
      <w:b/>
      <w:bCs/>
      <w:i/>
      <w:iCs/>
      <w:sz w:val="32"/>
    </w:rPr>
  </w:style>
  <w:style w:type="character" w:styleId="SlijeenaHiperveza">
    <w:name w:val="FollowedHyperlink"/>
    <w:rsid w:val="0020096F"/>
    <w:rPr>
      <w:color w:val="800080"/>
      <w:u w:val="single"/>
    </w:rPr>
  </w:style>
  <w:style w:type="paragraph" w:styleId="Tekstbalonia">
    <w:name w:val="Balloon Text"/>
    <w:basedOn w:val="Normal"/>
    <w:semiHidden/>
    <w:rsid w:val="00370717"/>
    <w:rPr>
      <w:rFonts w:ascii="Tahoma" w:hAnsi="Tahoma" w:cs="Tahoma"/>
      <w:sz w:val="16"/>
      <w:szCs w:val="16"/>
    </w:rPr>
  </w:style>
  <w:style w:type="paragraph" w:styleId="Podnoje">
    <w:name w:val="footer"/>
    <w:basedOn w:val="Normal"/>
    <w:rsid w:val="007B3700"/>
    <w:pPr>
      <w:tabs>
        <w:tab w:val="center" w:pos="4536"/>
        <w:tab w:val="right" w:pos="9072"/>
      </w:tabs>
    </w:pPr>
  </w:style>
  <w:style w:type="character" w:styleId="Brojstranice">
    <w:name w:val="page number"/>
    <w:basedOn w:val="Zadanifontodlomka"/>
    <w:rsid w:val="007B3700"/>
  </w:style>
  <w:style w:type="paragraph" w:styleId="Tijeloteksta-uvlaka2">
    <w:name w:val="Body Text Indent 2"/>
    <w:basedOn w:val="Normal"/>
    <w:link w:val="Tijeloteksta-uvlaka2Char"/>
    <w:rsid w:val="00D06624"/>
    <w:pPr>
      <w:spacing w:after="120" w:line="480" w:lineRule="auto"/>
      <w:ind w:left="283"/>
    </w:pPr>
  </w:style>
  <w:style w:type="character" w:customStyle="1" w:styleId="Tijeloteksta-uvlaka2Char">
    <w:name w:val="Tijelo teksta - uvlaka 2 Char"/>
    <w:link w:val="Tijeloteksta-uvlaka2"/>
    <w:rsid w:val="00D06624"/>
    <w:rPr>
      <w:sz w:val="24"/>
      <w:szCs w:val="24"/>
    </w:rPr>
  </w:style>
  <w:style w:type="paragraph" w:styleId="Tijeloteksta-uvlaka3">
    <w:name w:val="Body Text Indent 3"/>
    <w:basedOn w:val="Normal"/>
    <w:link w:val="Tijeloteksta-uvlaka3Char"/>
    <w:rsid w:val="00D06624"/>
    <w:pPr>
      <w:spacing w:after="120"/>
      <w:ind w:left="283"/>
    </w:pPr>
    <w:rPr>
      <w:sz w:val="16"/>
      <w:szCs w:val="16"/>
    </w:rPr>
  </w:style>
  <w:style w:type="character" w:customStyle="1" w:styleId="Tijeloteksta-uvlaka3Char">
    <w:name w:val="Tijelo teksta - uvlaka 3 Char"/>
    <w:link w:val="Tijeloteksta-uvlaka3"/>
    <w:rsid w:val="00D066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1033">
      <w:bodyDiv w:val="1"/>
      <w:marLeft w:val="0"/>
      <w:marRight w:val="0"/>
      <w:marTop w:val="0"/>
      <w:marBottom w:val="0"/>
      <w:divBdr>
        <w:top w:val="none" w:sz="0" w:space="0" w:color="auto"/>
        <w:left w:val="none" w:sz="0" w:space="0" w:color="auto"/>
        <w:bottom w:val="none" w:sz="0" w:space="0" w:color="auto"/>
        <w:right w:val="none" w:sz="0" w:space="0" w:color="auto"/>
      </w:divBdr>
    </w:div>
    <w:div w:id="1940791834">
      <w:bodyDiv w:val="1"/>
      <w:marLeft w:val="0"/>
      <w:marRight w:val="0"/>
      <w:marTop w:val="0"/>
      <w:marBottom w:val="0"/>
      <w:divBdr>
        <w:top w:val="none" w:sz="0" w:space="0" w:color="auto"/>
        <w:left w:val="none" w:sz="0" w:space="0" w:color="auto"/>
        <w:bottom w:val="none" w:sz="0" w:space="0" w:color="auto"/>
        <w:right w:val="none" w:sz="0" w:space="0" w:color="auto"/>
      </w:divBdr>
    </w:div>
    <w:div w:id="19438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3473</Words>
  <Characters>19800</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SISAK</vt:lpstr>
      <vt:lpstr>GRAD SISAK</vt:lpstr>
    </vt:vector>
  </TitlesOfParts>
  <Company>Grad Sisak</Company>
  <LinksUpToDate>false</LinksUpToDate>
  <CharactersWithSpaces>23227</CharactersWithSpaces>
  <SharedDoc>false</SharedDoc>
  <HLinks>
    <vt:vector size="6" baseType="variant">
      <vt:variant>
        <vt:i4>458756</vt:i4>
      </vt:variant>
      <vt:variant>
        <vt:i4>0</vt:i4>
      </vt:variant>
      <vt:variant>
        <vt:i4>0</vt:i4>
      </vt:variant>
      <vt:variant>
        <vt:i4>5</vt:i4>
      </vt:variant>
      <vt:variant>
        <vt:lpwstr>http://www.sisak.hr/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SISAK</dc:title>
  <dc:creator>Daniel Joha</dc:creator>
  <cp:lastModifiedBy>Daniel Joha</cp:lastModifiedBy>
  <cp:revision>9</cp:revision>
  <cp:lastPrinted>2016-10-20T07:12:00Z</cp:lastPrinted>
  <dcterms:created xsi:type="dcterms:W3CDTF">2016-12-09T10:46:00Z</dcterms:created>
  <dcterms:modified xsi:type="dcterms:W3CDTF">2017-11-17T13:30:00Z</dcterms:modified>
</cp:coreProperties>
</file>